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70" w:rsidRPr="009E1580" w:rsidRDefault="00F75870" w:rsidP="009E1580">
      <w:pPr>
        <w:jc w:val="center"/>
        <w:rPr>
          <w:rFonts w:ascii="Times New Roman" w:hAnsi="Times New Roman"/>
          <w:b/>
          <w:sz w:val="24"/>
          <w:szCs w:val="24"/>
        </w:rPr>
      </w:pPr>
      <w:r w:rsidRPr="009E1580">
        <w:rPr>
          <w:rFonts w:ascii="Times New Roman" w:hAnsi="Times New Roman"/>
          <w:b/>
          <w:sz w:val="24"/>
          <w:szCs w:val="24"/>
        </w:rPr>
        <w:t>Wykłady i konferencje</w:t>
      </w:r>
    </w:p>
    <w:p w:rsidR="00F75870" w:rsidRPr="00EE1915" w:rsidRDefault="00F75870" w:rsidP="009E1580">
      <w:pPr>
        <w:jc w:val="center"/>
        <w:rPr>
          <w:rFonts w:ascii="Times New Roman" w:hAnsi="Times New Roman"/>
          <w:b/>
          <w:sz w:val="24"/>
          <w:szCs w:val="24"/>
        </w:rPr>
      </w:pPr>
      <w:r w:rsidRPr="00EE1915">
        <w:rPr>
          <w:rFonts w:ascii="Times New Roman" w:hAnsi="Times New Roman"/>
          <w:b/>
          <w:sz w:val="24"/>
          <w:szCs w:val="24"/>
        </w:rPr>
        <w:t>2015</w:t>
      </w:r>
    </w:p>
    <w:p w:rsidR="00F75870" w:rsidRDefault="00F75870" w:rsidP="00CC067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„Demokracja” – wykład dla uczniów I LO im. T. Kościuszki w Gorzowie Wlkp. – w ramach Tygodnia UNESCO, 26 stycznia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„Polsko-niemiecka wspólnota odpowiedzialności” – wykład z cyklu „Z kart historii …” Klub Kultury „Jedynka” w Gorzowie Wlkp., 28 stycznia 205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„Nieunijne oraz nienatowskie alternatywne warianty możliwej kooperacji euroatlantyckiej Ukrainy” – XV Międzynarodowa Konferencja Naukowa „Europa XXI wieku: Bezpieczeństwo Europy, Unii Europejskiej i Polski w obliczu obecnych i przyszłych zagrożeń. Diagnozy i scenariusze na przyszłość”, Uniwersytet im. Adama Mickiewicza – Wydział Nauk Politycznych i Dziennikarstwa, Collegium Polonicum UAM, Słubice, 5-6 lutego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„Rekonstrukcja tożsamości gorzowskiej małej ojczyzny w połowie lat 90. XX wieku” – konferencja „Zakochaj się w regionie … wiedza o regionie elementem kształtowania poczucia tożsamości regionalnej”, zorganizowana przez Bibliotekę Pedagogiczną Wojewódzkiego Ośrodka Metodycznego w Gorzowie Wlkp. oraz Bibliotekę Główną PWSZ im. Jakuba z Paradyża w Gorzowie Wlkp. 9 marca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„Rola króla Kazimierza Wielkiego w rozwoju państwa polskiego” – wykład dla członków Towarzystwa Miłośników Wilna i Ziemi Wileńskiej, Wojewódzka i Miejska Biblioteka Publiczna w Gorzowie Wlkp. 11 marca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„Bezpieczeństwo Europy Środkowej i Wschodniej w latach 1989-2015” – I Ogólnopolska Konferencja Naukowa „Bezpieczeństwo narodowe Polski. Zagrożenia i determinanty zmiany” – organizator główny – Wydział Administracji i Bezpieczeństwa Narodowego PWSZ im. Jakuba z Paradyża w Gorzowie Wlkp. 16-17 kwietnia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„Czy żyjemy w czasach III wojny światowej?” – wykład inauguracyjny w ramach Lubuskiej Młodzieżowej Akademii Bezpieczeństwa Wydziału Administracji i Bezpieczeństwa Narodowego PWSZ im. Jakuba z Paradyża w Gorzowie Wlkp., 25 maja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„Instytucja petycji w rozwoju dziejowym” – Seminarium „Petycja obywatelska w społeczeństwie współczesnym”, współorganizowane przez Senatora RP Helenę Hatkę, Rektora PWSZ im. Jakuba z Paradyża w Gorzowie Wlkp. i Biuro Legislacyjne Kancelarii Senatu RP, Gorzów Wlkp. 29 czerwca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„Przemiany administracji publicznej na Pomorzu Zachodnim w latach 1945-2015”, konferencja „70. rocznica ustanowienia polskiej administracji na Pomorzu Zachodnim”, współorganizowana przez Wojewodę Zachodniopomorskiego, Marszałka Województwa Zachodniopomorskiego i Archiwum Państwowe w Szczecinie, Szczecin, 18 września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 xml:space="preserve"> „Sytuacja Tatarów Krymskich przed i po 18 marca 2014 r.” – Ogólnopolska Konferencja Naukowa „Tatarzy w Polsce po 1945 roku: tatarska tożsamość wobec asymilacji”, współorganizowana przez Akademickie Centrum Badań Euroregionalnych PWSZ im. Jakuba z Paradyża w Gorzowie Wlkp. oraz Wojewódzką i Miejską Bibliotekę Publiczną w Gorzowie Wlkp., 6-7 października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„Dyplomacja brytyjska 2. dekady XXI wieku – między przeszłością a nowymi wyzwaniami globalnymi” – konferencja „Między misją a profesją. Ewolucja roli dyplomaty w stosunkach międzynarodowych na przestrzeni dziejów” konferencja Instytutu Historii i Stosunków Międzynarodowych Wydziału Humanistycznego Uniwersytetu Szczecińskiego, Szczecin, 17 listopad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 xml:space="preserve"> „Pełnomocnik Wojewody Lubuskiego do Spraw Mniejszości Narodowych i Etnicznych w latach 2004-2005. Podstawowe kierunki działalności” – Ogólnopolska Konferencja Naukowa „Mniejszości w wyborach. Wybory mniejszości” Instytutu Politologii i Europeistyki Wydziału Humanistycznego Uniwersytetu szczecińskiego, Szczecin, 24-25 listopada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„Ustawa konstytucyjna Królestwa Polskiego z 27 listopada 1815 r. – charakterystyka najważniejszych postanowień” – Sympozjum Jubileuszowe pod honorowym patronatem Prezesa Trybunału Konstytucyjnego RP w związku z 200. rocznicą nadania Konstytucji Królestwu Polskiemu, współorganizowane przez Polskie Towarzystwo Historyczne Oddział w Gorzowie Wlkp. oraz Muzeum Lubuskie im. Jana Dekerta w Gorzowie Wlkp., 26 listopada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„Od postzimnowojennego idealizmu przez dyplomację &lt;książeczki czekowej&gt; do realistycznego pragmatyzmu: relacje Niemiec z ZSRR i Rosją w latach 1990-2015” – Ogólnopolska Konferencja Naukowa „Na Zachodzie bez zmian? Nowa sytuacja geopolityczna Europy Środkowej 25 lat po zjednoczeniu Niemiec”, współorganizowana przez Uniwersytet Zielonogórski, Katedrę Problemów Bezpieczeństwa Europy Północnej i Środkowo-Wschodniej Wydziału Administracji i Bezpieczeństwa Narodowego PWSZ im. Jakuba z Paradyża w Gorzowie Wlkp. oraz Polskie Towarzystwo Historyczne – Oddziały: w Gorzowie Wlkp. i w Zielonej Górze, Zielona Góra, 27 listopada 2015 r.</w:t>
      </w:r>
    </w:p>
    <w:p w:rsidR="00F75870" w:rsidRDefault="00F75870" w:rsidP="004F4E97">
      <w:pPr>
        <w:pStyle w:val="ListParagraph"/>
        <w:numPr>
          <w:ilvl w:val="0"/>
          <w:numId w:val="1"/>
        </w:numPr>
        <w:spacing w:line="360" w:lineRule="auto"/>
        <w:ind w:left="357" w:hanging="357"/>
        <w:jc w:val="both"/>
        <w:rPr>
          <w:rFonts w:ascii="Times New Roman" w:hAnsi="Times New Roman"/>
          <w:sz w:val="24"/>
          <w:szCs w:val="24"/>
        </w:rPr>
      </w:pPr>
      <w:r>
        <w:rPr>
          <w:rFonts w:ascii="Times New Roman" w:hAnsi="Times New Roman"/>
          <w:sz w:val="24"/>
          <w:szCs w:val="24"/>
        </w:rPr>
        <w:t>głos w dyskusji w trakcie VII Zjazdu Geopolityków Polskich, Uniwersytet Pedagogiczny w Krakowie, 12-13 grudnia 2015 r.</w:t>
      </w:r>
    </w:p>
    <w:p w:rsidR="00F75870" w:rsidRDefault="00F75870" w:rsidP="001C2AF9">
      <w:pPr>
        <w:spacing w:line="360" w:lineRule="auto"/>
        <w:jc w:val="center"/>
        <w:rPr>
          <w:rFonts w:ascii="Times New Roman" w:hAnsi="Times New Roman"/>
          <w:b/>
          <w:sz w:val="24"/>
          <w:szCs w:val="24"/>
        </w:rPr>
      </w:pPr>
      <w:r>
        <w:rPr>
          <w:rFonts w:ascii="Times New Roman" w:hAnsi="Times New Roman"/>
          <w:b/>
          <w:sz w:val="24"/>
          <w:szCs w:val="24"/>
        </w:rPr>
        <w:t>2016</w:t>
      </w:r>
    </w:p>
    <w:p w:rsidR="00F75870" w:rsidRPr="001C2AF9" w:rsidRDefault="00F75870" w:rsidP="001C2AF9">
      <w:pPr>
        <w:pStyle w:val="ListParagraph"/>
        <w:numPr>
          <w:ilvl w:val="0"/>
          <w:numId w:val="1"/>
        </w:numPr>
        <w:spacing w:line="360" w:lineRule="auto"/>
        <w:ind w:left="357" w:hanging="357"/>
        <w:rPr>
          <w:rFonts w:ascii="Times New Roman" w:hAnsi="Times New Roman"/>
          <w:sz w:val="24"/>
          <w:szCs w:val="24"/>
        </w:rPr>
      </w:pPr>
      <w:r>
        <w:rPr>
          <w:rFonts w:ascii="Times New Roman" w:hAnsi="Times New Roman"/>
          <w:sz w:val="24"/>
          <w:szCs w:val="24"/>
        </w:rPr>
        <w:t>„Polsko-niemiecki dialog kościołów 1965-2015” – wykład z cyklu „Z kart historii …”, Klub Kultury „Jedynka” w Gorzowie Wlkp., 27 stycznia 2016 r.</w:t>
      </w:r>
    </w:p>
    <w:p w:rsidR="00F75870" w:rsidRDefault="00F75870" w:rsidP="00EE1915">
      <w:pPr>
        <w:spacing w:line="360" w:lineRule="auto"/>
        <w:rPr>
          <w:rFonts w:ascii="Times New Roman" w:hAnsi="Times New Roman"/>
          <w:sz w:val="24"/>
          <w:szCs w:val="24"/>
        </w:rPr>
      </w:pPr>
    </w:p>
    <w:p w:rsidR="00F75870" w:rsidRDefault="00F75870" w:rsidP="00EE1915">
      <w:pPr>
        <w:spacing w:line="360" w:lineRule="auto"/>
        <w:jc w:val="center"/>
        <w:rPr>
          <w:rFonts w:ascii="Times New Roman" w:hAnsi="Times New Roman"/>
          <w:b/>
          <w:sz w:val="24"/>
          <w:szCs w:val="24"/>
        </w:rPr>
      </w:pPr>
      <w:r w:rsidRPr="001C2AF9">
        <w:rPr>
          <w:rFonts w:ascii="Times New Roman" w:hAnsi="Times New Roman"/>
          <w:b/>
          <w:sz w:val="24"/>
          <w:szCs w:val="24"/>
        </w:rPr>
        <w:t>Członkostwo w radach/komitetach naukowych konferencji</w:t>
      </w:r>
    </w:p>
    <w:p w:rsidR="00F75870" w:rsidRPr="001C2AF9" w:rsidRDefault="00F75870" w:rsidP="00F01F9E">
      <w:pPr>
        <w:spacing w:before="240" w:line="360" w:lineRule="auto"/>
        <w:jc w:val="center"/>
        <w:rPr>
          <w:rFonts w:ascii="Times New Roman" w:hAnsi="Times New Roman"/>
          <w:b/>
          <w:sz w:val="24"/>
          <w:szCs w:val="24"/>
        </w:rPr>
      </w:pPr>
      <w:r>
        <w:rPr>
          <w:rFonts w:ascii="Times New Roman" w:hAnsi="Times New Roman"/>
          <w:b/>
          <w:sz w:val="24"/>
          <w:szCs w:val="24"/>
        </w:rPr>
        <w:t>2015</w:t>
      </w:r>
    </w:p>
    <w:p w:rsidR="00F75870" w:rsidRDefault="00F75870" w:rsidP="00F01F9E">
      <w:pPr>
        <w:pStyle w:val="ListParagraph"/>
        <w:numPr>
          <w:ilvl w:val="0"/>
          <w:numId w:val="2"/>
        </w:numPr>
        <w:spacing w:line="360" w:lineRule="auto"/>
        <w:ind w:left="357" w:hanging="357"/>
        <w:jc w:val="both"/>
        <w:rPr>
          <w:rFonts w:ascii="Times New Roman" w:hAnsi="Times New Roman"/>
          <w:sz w:val="24"/>
          <w:szCs w:val="24"/>
        </w:rPr>
      </w:pPr>
      <w:r>
        <w:rPr>
          <w:rFonts w:ascii="Times New Roman" w:hAnsi="Times New Roman"/>
          <w:sz w:val="24"/>
          <w:szCs w:val="24"/>
        </w:rPr>
        <w:t>I Ogólnopolska Konferencja Naukowa „Bezpieczeństwo narodowe Polski: Zagrożenia i determinanty zmiany”, Gorzów Wlkp., 16-17 kwietnia 2015 r.;</w:t>
      </w:r>
    </w:p>
    <w:p w:rsidR="00F75870" w:rsidRDefault="00F75870" w:rsidP="00F01F9E">
      <w:pPr>
        <w:pStyle w:val="ListParagraph"/>
        <w:numPr>
          <w:ilvl w:val="0"/>
          <w:numId w:val="2"/>
        </w:numPr>
        <w:spacing w:line="360" w:lineRule="auto"/>
        <w:ind w:left="357" w:hanging="357"/>
        <w:jc w:val="both"/>
        <w:rPr>
          <w:rFonts w:ascii="Times New Roman" w:hAnsi="Times New Roman"/>
          <w:sz w:val="24"/>
          <w:szCs w:val="24"/>
        </w:rPr>
      </w:pPr>
      <w:r>
        <w:rPr>
          <w:rFonts w:ascii="Times New Roman" w:hAnsi="Times New Roman"/>
          <w:sz w:val="24"/>
          <w:szCs w:val="24"/>
        </w:rPr>
        <w:t>„XXV-lecie samorządu terytorialnego w Polsce: gdzie jesteśmy? Dokąd zmierzamy?” – Międzynarodowa Konferencja Naukowa zorganizowana przez Wyższą Szkołę Administracji Publicznej w Szczecinie, pod patronatem Prezydenta RP, Rzecznika Praw Obywatelskich i Marszałka Województwa Zachodniopomorskiego, Szczecin, 20 maja 2015 r.;</w:t>
      </w:r>
    </w:p>
    <w:p w:rsidR="00F75870" w:rsidRDefault="00F75870" w:rsidP="00F01F9E">
      <w:pPr>
        <w:pStyle w:val="ListParagraph"/>
        <w:numPr>
          <w:ilvl w:val="0"/>
          <w:numId w:val="2"/>
        </w:numPr>
        <w:spacing w:line="360" w:lineRule="auto"/>
        <w:ind w:left="357" w:hanging="357"/>
        <w:jc w:val="both"/>
        <w:rPr>
          <w:rFonts w:ascii="Times New Roman" w:hAnsi="Times New Roman"/>
          <w:sz w:val="24"/>
          <w:szCs w:val="24"/>
        </w:rPr>
      </w:pPr>
      <w:r>
        <w:rPr>
          <w:rFonts w:ascii="Times New Roman" w:hAnsi="Times New Roman"/>
          <w:sz w:val="24"/>
          <w:szCs w:val="24"/>
        </w:rPr>
        <w:t>„Dziedzictwo kulturowe na Ziemi Lubuskiej po 1945 roku. Losy, ochrona i wyzwania w perspektywie powojennego siedemdziesięciolecia” – konferencja zorganizowana przez Polskie Towarzystwo Historyczne Odział w Zielonej Górze, wraz z instytucjami partnerskimi, Gorzów Wlkp., 11 września 2015 r.;</w:t>
      </w:r>
    </w:p>
    <w:p w:rsidR="00F75870" w:rsidRDefault="00F75870" w:rsidP="00F01F9E">
      <w:pPr>
        <w:pStyle w:val="ListParagraph"/>
        <w:numPr>
          <w:ilvl w:val="0"/>
          <w:numId w:val="2"/>
        </w:numPr>
        <w:spacing w:line="360" w:lineRule="auto"/>
        <w:ind w:left="357" w:hanging="357"/>
        <w:jc w:val="both"/>
        <w:rPr>
          <w:rFonts w:ascii="Times New Roman" w:hAnsi="Times New Roman"/>
          <w:sz w:val="24"/>
          <w:szCs w:val="24"/>
        </w:rPr>
      </w:pPr>
      <w:r>
        <w:rPr>
          <w:rFonts w:ascii="Times New Roman" w:hAnsi="Times New Roman"/>
          <w:sz w:val="24"/>
          <w:szCs w:val="24"/>
        </w:rPr>
        <w:t>Ogólnopolska Konferencja Naukowa „Tatarzy w Polsce po 1945 roku: tatarska tożsamość wobec asymilacji”, Gorzów Wlkp., 6-7 października 2015 r.;</w:t>
      </w:r>
    </w:p>
    <w:p w:rsidR="00F75870" w:rsidRDefault="00F75870" w:rsidP="00F01F9E">
      <w:pPr>
        <w:pStyle w:val="ListParagraph"/>
        <w:numPr>
          <w:ilvl w:val="0"/>
          <w:numId w:val="2"/>
        </w:numPr>
        <w:spacing w:line="360" w:lineRule="auto"/>
        <w:ind w:left="357" w:hanging="357"/>
        <w:jc w:val="both"/>
        <w:rPr>
          <w:rFonts w:ascii="Times New Roman" w:hAnsi="Times New Roman"/>
          <w:sz w:val="24"/>
          <w:szCs w:val="24"/>
        </w:rPr>
      </w:pPr>
      <w:r>
        <w:rPr>
          <w:rFonts w:ascii="Times New Roman" w:hAnsi="Times New Roman"/>
          <w:sz w:val="24"/>
          <w:szCs w:val="24"/>
        </w:rPr>
        <w:t>III Transgraniczna Konferencja Naukowa „Rozwój na peryferiach?”, Gorzów Wlkp., 26 listopada 2015 r.</w:t>
      </w:r>
    </w:p>
    <w:p w:rsidR="00F75870" w:rsidRPr="008A417B" w:rsidRDefault="00F75870" w:rsidP="00D92EA5">
      <w:pPr>
        <w:spacing w:before="240" w:line="360" w:lineRule="auto"/>
        <w:jc w:val="center"/>
        <w:rPr>
          <w:rFonts w:ascii="Times New Roman" w:hAnsi="Times New Roman"/>
          <w:b/>
          <w:sz w:val="24"/>
          <w:szCs w:val="24"/>
        </w:rPr>
      </w:pPr>
      <w:r w:rsidRPr="008A417B">
        <w:rPr>
          <w:rFonts w:ascii="Times New Roman" w:hAnsi="Times New Roman"/>
          <w:b/>
          <w:sz w:val="24"/>
          <w:szCs w:val="24"/>
        </w:rPr>
        <w:t>Kierownictwo naukowe konferencji</w:t>
      </w:r>
    </w:p>
    <w:p w:rsidR="00F75870" w:rsidRDefault="00F75870" w:rsidP="008A417B">
      <w:pPr>
        <w:spacing w:line="360" w:lineRule="auto"/>
        <w:jc w:val="both"/>
        <w:rPr>
          <w:rFonts w:ascii="Times New Roman" w:hAnsi="Times New Roman"/>
          <w:sz w:val="24"/>
          <w:szCs w:val="24"/>
        </w:rPr>
      </w:pPr>
      <w:r>
        <w:rPr>
          <w:rFonts w:ascii="Times New Roman" w:hAnsi="Times New Roman"/>
          <w:sz w:val="24"/>
          <w:szCs w:val="24"/>
        </w:rPr>
        <w:t>Kierownik naukowy I Konferencji Studenckiej „Młodzi dla bezpieczeństwa”, organizowanej przez Wydział Administracji i Bezpieczeństwa Narodowego PWSZ im. Jakuba z Paradyża w Gorzowie Wlkp., Gorzów Wlkp., 17 kwietnia 2015 r.</w:t>
      </w:r>
    </w:p>
    <w:p w:rsidR="00F75870" w:rsidRPr="00BE0126" w:rsidRDefault="00F75870" w:rsidP="00BE0126">
      <w:pPr>
        <w:spacing w:line="360" w:lineRule="auto"/>
        <w:jc w:val="center"/>
        <w:rPr>
          <w:rFonts w:ascii="Times New Roman" w:hAnsi="Times New Roman"/>
          <w:b/>
          <w:sz w:val="24"/>
          <w:szCs w:val="24"/>
        </w:rPr>
      </w:pPr>
      <w:r>
        <w:rPr>
          <w:rFonts w:ascii="Times New Roman" w:hAnsi="Times New Roman"/>
          <w:b/>
          <w:sz w:val="24"/>
          <w:szCs w:val="24"/>
        </w:rPr>
        <w:t>Ekspertyzy prawne</w:t>
      </w:r>
    </w:p>
    <w:p w:rsidR="00F75870" w:rsidRDefault="00F75870" w:rsidP="008A417B">
      <w:pPr>
        <w:spacing w:line="360" w:lineRule="auto"/>
        <w:jc w:val="both"/>
        <w:rPr>
          <w:rFonts w:ascii="Times New Roman" w:hAnsi="Times New Roman"/>
          <w:sz w:val="24"/>
          <w:szCs w:val="24"/>
        </w:rPr>
      </w:pPr>
      <w:r>
        <w:rPr>
          <w:rFonts w:ascii="Times New Roman" w:hAnsi="Times New Roman"/>
          <w:sz w:val="24"/>
          <w:szCs w:val="24"/>
        </w:rPr>
        <w:t>Opracowanie projektu ustawy wraz z uzasadnieniem –  o finansowaniu z budżetu państwa Wyższego Seminarium Teologicznego im. Jana Łaskiego Kościoła Ewangelicko-Metodystycznego w RP na zlecenie władz zwierzchnich tegoż Kościoła – styczeń 2015 r.</w:t>
      </w:r>
    </w:p>
    <w:p w:rsidR="00F75870" w:rsidRDefault="00F75870" w:rsidP="008A417B">
      <w:pPr>
        <w:spacing w:line="360" w:lineRule="auto"/>
        <w:jc w:val="both"/>
        <w:rPr>
          <w:rFonts w:ascii="Times New Roman" w:hAnsi="Times New Roman"/>
          <w:sz w:val="24"/>
          <w:szCs w:val="24"/>
        </w:rPr>
      </w:pPr>
      <w:r>
        <w:rPr>
          <w:rFonts w:ascii="Times New Roman" w:hAnsi="Times New Roman"/>
          <w:sz w:val="24"/>
          <w:szCs w:val="24"/>
        </w:rPr>
        <w:t>Konsultacja prawnicza projektu Prawa Wewnętrznego Kościoła Ewangelicko-Metodystycznego w RP na zlecenie władz zwierzchnich tegoż Kościoła – maj 2015 r.</w:t>
      </w:r>
    </w:p>
    <w:p w:rsidR="00F75870" w:rsidRPr="00D92EA5" w:rsidRDefault="00F75870" w:rsidP="00D92EA5">
      <w:pPr>
        <w:spacing w:before="240" w:line="360" w:lineRule="auto"/>
        <w:jc w:val="center"/>
        <w:rPr>
          <w:rFonts w:ascii="Times New Roman" w:hAnsi="Times New Roman"/>
          <w:b/>
          <w:sz w:val="24"/>
          <w:szCs w:val="24"/>
        </w:rPr>
      </w:pPr>
      <w:r w:rsidRPr="00D92EA5">
        <w:rPr>
          <w:rFonts w:ascii="Times New Roman" w:hAnsi="Times New Roman"/>
          <w:b/>
          <w:sz w:val="24"/>
          <w:szCs w:val="24"/>
        </w:rPr>
        <w:t>Recenzowanie prac naukowych</w:t>
      </w:r>
    </w:p>
    <w:p w:rsidR="00F75870" w:rsidRDefault="00F75870" w:rsidP="00D92EA5">
      <w:pPr>
        <w:pStyle w:val="ListParagraph"/>
        <w:numPr>
          <w:ilvl w:val="0"/>
          <w:numId w:val="3"/>
        </w:numPr>
        <w:spacing w:line="360" w:lineRule="auto"/>
        <w:ind w:left="357" w:hanging="357"/>
        <w:jc w:val="both"/>
        <w:rPr>
          <w:rFonts w:ascii="Times New Roman" w:hAnsi="Times New Roman"/>
          <w:sz w:val="24"/>
          <w:szCs w:val="24"/>
        </w:rPr>
      </w:pPr>
      <w:r>
        <w:rPr>
          <w:rFonts w:ascii="Times New Roman" w:hAnsi="Times New Roman"/>
          <w:sz w:val="24"/>
          <w:szCs w:val="24"/>
        </w:rPr>
        <w:t>artykuł „Prawosławie w Hiszpanii” – „Przegląd Narodowościowy – Review of Nationalities”</w:t>
      </w:r>
    </w:p>
    <w:p w:rsidR="00F75870" w:rsidRDefault="00F75870" w:rsidP="00D92EA5">
      <w:pPr>
        <w:pStyle w:val="ListParagraph"/>
        <w:numPr>
          <w:ilvl w:val="0"/>
          <w:numId w:val="3"/>
        </w:numPr>
        <w:spacing w:line="360" w:lineRule="auto"/>
        <w:ind w:left="357" w:hanging="357"/>
        <w:jc w:val="both"/>
        <w:rPr>
          <w:rFonts w:ascii="Times New Roman" w:hAnsi="Times New Roman"/>
          <w:sz w:val="24"/>
          <w:szCs w:val="24"/>
        </w:rPr>
      </w:pPr>
      <w:r>
        <w:rPr>
          <w:rFonts w:ascii="Times New Roman" w:hAnsi="Times New Roman"/>
          <w:sz w:val="24"/>
          <w:szCs w:val="24"/>
        </w:rPr>
        <w:t>artykuł „Ślady reformacji i protestantyzmu w Gorzowie Wielkopolskim na przykładzie Kościoła Mariackiego i Kościoła Zgody” – „Nadwarciański Rocznik Historyczno-Archiwalny”</w:t>
      </w:r>
    </w:p>
    <w:p w:rsidR="00F75870" w:rsidRDefault="00F75870" w:rsidP="00D92EA5">
      <w:pPr>
        <w:pStyle w:val="ListParagraph"/>
        <w:numPr>
          <w:ilvl w:val="0"/>
          <w:numId w:val="3"/>
        </w:numPr>
        <w:spacing w:line="360" w:lineRule="auto"/>
        <w:ind w:left="357" w:hanging="357"/>
        <w:jc w:val="both"/>
        <w:rPr>
          <w:rFonts w:ascii="Times New Roman" w:hAnsi="Times New Roman"/>
          <w:sz w:val="24"/>
          <w:szCs w:val="24"/>
        </w:rPr>
      </w:pPr>
      <w:r>
        <w:rPr>
          <w:rFonts w:ascii="Times New Roman" w:hAnsi="Times New Roman"/>
          <w:sz w:val="24"/>
          <w:szCs w:val="24"/>
        </w:rPr>
        <w:t>książka „Bezpieczeństwo Europy. Uwarunkowania społeczne”, redakcja naukowa Tadeusz Zbigniew Leszczyński</w:t>
      </w:r>
      <w:r w:rsidRPr="00D92EA5">
        <w:rPr>
          <w:rStyle w:val="FootnoteReference"/>
          <w:rFonts w:ascii="Times New Roman" w:hAnsi="Times New Roman"/>
          <w:sz w:val="24"/>
          <w:szCs w:val="24"/>
        </w:rPr>
        <w:footnoteReference w:customMarkFollows="1" w:id="1"/>
        <w:sym w:font="Symbol" w:char="F02A"/>
      </w:r>
      <w:r>
        <w:rPr>
          <w:rFonts w:ascii="Times New Roman" w:hAnsi="Times New Roman"/>
          <w:sz w:val="24"/>
          <w:szCs w:val="24"/>
        </w:rPr>
        <w:t>, Wyd. Polskie Towarzystwo Geopolityczne, Kraków 2015 r. ss. 204</w:t>
      </w:r>
    </w:p>
    <w:p w:rsidR="00F75870" w:rsidRDefault="00F75870" w:rsidP="00D92EA5">
      <w:pPr>
        <w:spacing w:line="360" w:lineRule="auto"/>
        <w:jc w:val="center"/>
        <w:rPr>
          <w:rFonts w:ascii="Times New Roman" w:hAnsi="Times New Roman"/>
          <w:b/>
          <w:sz w:val="24"/>
          <w:szCs w:val="24"/>
        </w:rPr>
      </w:pPr>
      <w:r>
        <w:rPr>
          <w:rFonts w:ascii="Times New Roman" w:hAnsi="Times New Roman"/>
          <w:b/>
          <w:sz w:val="24"/>
          <w:szCs w:val="24"/>
        </w:rPr>
        <w:t>10 najważniejszych publikacji</w:t>
      </w:r>
    </w:p>
    <w:p w:rsidR="00F75870"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E869D5">
        <w:rPr>
          <w:rFonts w:ascii="Times New Roman" w:hAnsi="Times New Roman"/>
          <w:i/>
          <w:sz w:val="24"/>
          <w:szCs w:val="24"/>
        </w:rPr>
        <w:t>Zagadnienia wyznaniowe w Konstytucji RP</w:t>
      </w:r>
      <w:r w:rsidRPr="00E869D5">
        <w:rPr>
          <w:rFonts w:ascii="Times New Roman" w:hAnsi="Times New Roman"/>
          <w:sz w:val="24"/>
          <w:szCs w:val="24"/>
        </w:rPr>
        <w:t>, Warszawa 2001, ss. 99</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57297F">
        <w:rPr>
          <w:rFonts w:ascii="Times New Roman" w:hAnsi="Times New Roman"/>
          <w:i/>
          <w:sz w:val="24"/>
          <w:szCs w:val="24"/>
        </w:rPr>
        <w:t>Centralna administracja wyznaniowa II RP – Ministerstwo Wyznań Religijnych i Oświecenia Publicznego</w:t>
      </w:r>
      <w:r w:rsidRPr="0057297F">
        <w:rPr>
          <w:rFonts w:ascii="Times New Roman" w:hAnsi="Times New Roman"/>
          <w:sz w:val="24"/>
          <w:szCs w:val="24"/>
        </w:rPr>
        <w:t>, Warszawa 2006, ss. 300</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Regulacja majątkowa w odniesieniu do mienia żydowskiego w północnej części województwa lubuskiego</w:t>
      </w:r>
      <w:r w:rsidRPr="004830A5">
        <w:rPr>
          <w:rFonts w:ascii="Times New Roman" w:hAnsi="Times New Roman"/>
          <w:sz w:val="24"/>
          <w:szCs w:val="24"/>
          <w:lang w:eastAsia="pl-PL"/>
        </w:rPr>
        <w:t>, „Studia z Prawa Wyznaniowego”, nr 12/2009, s. 121-148</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Kwestia ustawodawstwa delegowanego w pracach Sejmu X kadencji</w:t>
      </w:r>
      <w:r w:rsidRPr="004830A5">
        <w:rPr>
          <w:rFonts w:ascii="Times New Roman" w:hAnsi="Times New Roman"/>
          <w:sz w:val="24"/>
          <w:szCs w:val="24"/>
          <w:lang w:eastAsia="pl-PL"/>
        </w:rPr>
        <w:t xml:space="preserve">, [w:] </w:t>
      </w:r>
      <w:r w:rsidRPr="004830A5">
        <w:rPr>
          <w:rFonts w:ascii="Times New Roman" w:hAnsi="Times New Roman"/>
          <w:i/>
          <w:sz w:val="24"/>
          <w:szCs w:val="24"/>
          <w:lang w:eastAsia="pl-PL"/>
        </w:rPr>
        <w:t>Dwadzieścia lat transformacji ustrojowej w Polsce</w:t>
      </w:r>
      <w:r w:rsidRPr="004830A5">
        <w:rPr>
          <w:rFonts w:ascii="Times New Roman" w:hAnsi="Times New Roman"/>
          <w:sz w:val="24"/>
          <w:szCs w:val="24"/>
          <w:lang w:eastAsia="pl-PL"/>
        </w:rPr>
        <w:t>, pod red. M. Zubika, Warszawa 2010, s. 442-448</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Zasada równouprawnienia Kościołów i innych związków wyznaniowych w świetle relacji między art. 25 ust. 1 a art. 25 ust. 5 Konstytucji RP</w:t>
      </w:r>
      <w:r w:rsidRPr="004830A5">
        <w:rPr>
          <w:rFonts w:ascii="Times New Roman" w:hAnsi="Times New Roman"/>
          <w:sz w:val="24"/>
          <w:szCs w:val="24"/>
          <w:lang w:eastAsia="pl-PL"/>
        </w:rPr>
        <w:t xml:space="preserve">, [w:] </w:t>
      </w:r>
      <w:r w:rsidRPr="004830A5">
        <w:rPr>
          <w:rFonts w:ascii="Times New Roman" w:hAnsi="Times New Roman"/>
          <w:i/>
          <w:sz w:val="24"/>
          <w:szCs w:val="24"/>
          <w:lang w:eastAsia="pl-PL"/>
        </w:rPr>
        <w:t>Zasady naczelne Konstytucji RP z 2 kwietnia 1997 roku. Materiały 52. Ogólnopolskiego Zjazdu Katedr Prawa Konstytucyjnego w Międzyzdrojach (27-29 maja 2010 r.)</w:t>
      </w:r>
      <w:r w:rsidRPr="004830A5">
        <w:rPr>
          <w:rFonts w:ascii="Times New Roman" w:hAnsi="Times New Roman"/>
          <w:sz w:val="24"/>
          <w:szCs w:val="24"/>
          <w:lang w:eastAsia="pl-PL"/>
        </w:rPr>
        <w:t>, pod red. A. Bałabana i P. Mijala, Szczecin 2011, s. 389-409</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Geneza i profil czechosłowackiego prawa wyznaniowego I Republiki w latach 1918-1938,</w:t>
      </w:r>
      <w:r w:rsidRPr="004830A5">
        <w:rPr>
          <w:rFonts w:ascii="Times New Roman" w:hAnsi="Times New Roman"/>
          <w:sz w:val="24"/>
          <w:szCs w:val="24"/>
          <w:lang w:eastAsia="pl-PL"/>
        </w:rPr>
        <w:t xml:space="preserve"> „Zeszyty Prawnicze Wydziału Prawa i Administracji Uniwersytetu Kardynała Stefana Wyszyńskiego”,</w:t>
      </w:r>
      <w:r w:rsidRPr="004830A5">
        <w:rPr>
          <w:rFonts w:ascii="Times New Roman" w:hAnsi="Times New Roman"/>
          <w:i/>
          <w:sz w:val="24"/>
          <w:szCs w:val="24"/>
          <w:lang w:eastAsia="pl-PL"/>
        </w:rPr>
        <w:t xml:space="preserve"> </w:t>
      </w:r>
      <w:r w:rsidRPr="004830A5">
        <w:rPr>
          <w:rFonts w:ascii="Times New Roman" w:hAnsi="Times New Roman"/>
          <w:sz w:val="24"/>
          <w:szCs w:val="24"/>
          <w:lang w:eastAsia="pl-PL"/>
        </w:rPr>
        <w:t>nr 11.3/2011, s. 201-219</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Regulacja stosunków między państwem a nierzymskokatolickimi Kościołami i innymi związkami wyznaniowymi określona w art. 25 ust. 5 Konstytucji RP</w:t>
      </w:r>
      <w:r w:rsidRPr="004830A5">
        <w:rPr>
          <w:rFonts w:ascii="Times New Roman" w:hAnsi="Times New Roman"/>
          <w:sz w:val="24"/>
          <w:szCs w:val="24"/>
          <w:lang w:eastAsia="pl-PL"/>
        </w:rPr>
        <w:t>, Gorzów Wielkopolski 2012, ss. 559</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Finansowanie Kościołów i innych związków wyznaniowych na ziemiach czeskich w XX wieku wraz z zagadnieniem restytucji majątkowej po 1989 roku</w:t>
      </w:r>
      <w:r w:rsidRPr="004830A5">
        <w:rPr>
          <w:rFonts w:ascii="Times New Roman" w:hAnsi="Times New Roman"/>
          <w:sz w:val="24"/>
          <w:szCs w:val="24"/>
          <w:lang w:eastAsia="pl-PL"/>
        </w:rPr>
        <w:t xml:space="preserve">, [w:] </w:t>
      </w:r>
      <w:r w:rsidRPr="004830A5">
        <w:rPr>
          <w:rFonts w:ascii="Times New Roman" w:hAnsi="Times New Roman"/>
          <w:i/>
          <w:sz w:val="24"/>
          <w:szCs w:val="24"/>
          <w:lang w:eastAsia="pl-PL"/>
        </w:rPr>
        <w:t>Finansowanie Kościołów i innych związków wyznaniowych</w:t>
      </w:r>
      <w:r w:rsidRPr="004830A5">
        <w:rPr>
          <w:rFonts w:ascii="Times New Roman" w:hAnsi="Times New Roman"/>
          <w:sz w:val="24"/>
          <w:szCs w:val="24"/>
          <w:lang w:eastAsia="pl-PL"/>
        </w:rPr>
        <w:t>, pod red. P. Sobczyka i K. Warchałowskiego, Warszawa 2013, s. 91-120</w:t>
      </w:r>
    </w:p>
    <w:p w:rsidR="00F75870" w:rsidRPr="004830A5" w:rsidRDefault="00F75870" w:rsidP="004830A5">
      <w:pPr>
        <w:pStyle w:val="ListParagraph"/>
        <w:numPr>
          <w:ilvl w:val="0"/>
          <w:numId w:val="4"/>
        </w:numPr>
        <w:spacing w:after="0"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Liberalizm i konstytucjonalizm, czyli o zabezpieczeniu wolności społeczeństwa otwartego</w:t>
      </w:r>
      <w:r w:rsidRPr="004830A5">
        <w:rPr>
          <w:rFonts w:ascii="Times New Roman" w:hAnsi="Times New Roman"/>
          <w:sz w:val="24"/>
          <w:szCs w:val="24"/>
          <w:lang w:eastAsia="pl-PL"/>
        </w:rPr>
        <w:t>, „Liberté”, nr 19/2014, s. 38-47</w:t>
      </w:r>
    </w:p>
    <w:p w:rsidR="00F75870" w:rsidRPr="004830A5" w:rsidRDefault="00F75870" w:rsidP="004830A5">
      <w:pPr>
        <w:pStyle w:val="ListParagraph"/>
        <w:numPr>
          <w:ilvl w:val="0"/>
          <w:numId w:val="4"/>
        </w:numPr>
        <w:spacing w:line="360" w:lineRule="auto"/>
        <w:ind w:left="357" w:hanging="357"/>
        <w:jc w:val="both"/>
        <w:rPr>
          <w:rFonts w:ascii="Times New Roman" w:hAnsi="Times New Roman"/>
          <w:sz w:val="24"/>
          <w:szCs w:val="24"/>
        </w:rPr>
      </w:pPr>
      <w:r w:rsidRPr="004830A5">
        <w:rPr>
          <w:rFonts w:ascii="Times New Roman" w:hAnsi="Times New Roman"/>
          <w:i/>
          <w:sz w:val="24"/>
          <w:szCs w:val="24"/>
          <w:lang w:eastAsia="pl-PL"/>
        </w:rPr>
        <w:t>Ewolucja prawa wyborczego do Rady Najwyższej Ukrainy w latach 1993-2014</w:t>
      </w:r>
      <w:r w:rsidRPr="004830A5">
        <w:rPr>
          <w:rFonts w:ascii="Times New Roman" w:hAnsi="Times New Roman"/>
          <w:sz w:val="24"/>
          <w:szCs w:val="24"/>
          <w:lang w:eastAsia="pl-PL"/>
        </w:rPr>
        <w:t xml:space="preserve">, [w:] </w:t>
      </w:r>
      <w:r w:rsidRPr="004830A5">
        <w:rPr>
          <w:rFonts w:ascii="Times New Roman" w:hAnsi="Times New Roman"/>
          <w:i/>
          <w:sz w:val="24"/>
          <w:szCs w:val="24"/>
          <w:lang w:eastAsia="pl-PL"/>
        </w:rPr>
        <w:t>Rewolucja w imię godności: ukraiński Euromajdan 2013-2014</w:t>
      </w:r>
      <w:r w:rsidRPr="004830A5">
        <w:rPr>
          <w:rFonts w:ascii="Times New Roman" w:hAnsi="Times New Roman"/>
          <w:sz w:val="24"/>
          <w:szCs w:val="24"/>
          <w:lang w:eastAsia="pl-PL"/>
        </w:rPr>
        <w:t>, pod red. G. Skrukwy, M. Studennej-Skrukwy, Toruń 2015, s. 40-65</w:t>
      </w:r>
    </w:p>
    <w:p w:rsidR="00F75870" w:rsidRPr="004830A5" w:rsidRDefault="00F75870" w:rsidP="004830A5">
      <w:pPr>
        <w:spacing w:after="0" w:line="360" w:lineRule="auto"/>
        <w:jc w:val="center"/>
        <w:rPr>
          <w:rFonts w:ascii="Times New Roman" w:hAnsi="Times New Roman"/>
          <w:b/>
          <w:sz w:val="24"/>
          <w:szCs w:val="24"/>
        </w:rPr>
      </w:pPr>
      <w:r w:rsidRPr="004830A5">
        <w:rPr>
          <w:rFonts w:ascii="Times New Roman" w:hAnsi="Times New Roman"/>
          <w:b/>
          <w:sz w:val="24"/>
          <w:szCs w:val="24"/>
        </w:rPr>
        <w:t>Aktualne i planowane obszary badawcze</w:t>
      </w:r>
    </w:p>
    <w:p w:rsidR="00F75870" w:rsidRDefault="00F75870" w:rsidP="004830A5">
      <w:pPr>
        <w:pStyle w:val="ListParagraph"/>
        <w:numPr>
          <w:ilvl w:val="0"/>
          <w:numId w:val="6"/>
        </w:numPr>
        <w:spacing w:after="0" w:line="360" w:lineRule="auto"/>
        <w:ind w:left="357" w:hanging="357"/>
        <w:jc w:val="both"/>
        <w:rPr>
          <w:rFonts w:ascii="Times New Roman" w:hAnsi="Times New Roman"/>
          <w:sz w:val="24"/>
          <w:szCs w:val="24"/>
        </w:rPr>
      </w:pPr>
      <w:r>
        <w:rPr>
          <w:rFonts w:ascii="Times New Roman" w:hAnsi="Times New Roman"/>
          <w:sz w:val="24"/>
          <w:szCs w:val="24"/>
        </w:rPr>
        <w:t>Konstytucjonalizacja praw i wolności człowieka i obywatela w formie Kart Praw w wybranych państwach</w:t>
      </w:r>
    </w:p>
    <w:p w:rsidR="00F75870" w:rsidRDefault="00F75870" w:rsidP="004830A5">
      <w:pPr>
        <w:pStyle w:val="ListParagraph"/>
        <w:numPr>
          <w:ilvl w:val="0"/>
          <w:numId w:val="6"/>
        </w:numPr>
        <w:spacing w:after="0" w:line="360" w:lineRule="auto"/>
        <w:ind w:left="357" w:hanging="357"/>
        <w:jc w:val="both"/>
        <w:rPr>
          <w:rFonts w:ascii="Times New Roman" w:hAnsi="Times New Roman"/>
          <w:sz w:val="24"/>
          <w:szCs w:val="24"/>
        </w:rPr>
      </w:pPr>
      <w:r>
        <w:rPr>
          <w:rFonts w:ascii="Times New Roman" w:hAnsi="Times New Roman"/>
          <w:sz w:val="24"/>
          <w:szCs w:val="24"/>
        </w:rPr>
        <w:t>Regulacja zagadnień polityki zagranicznej w wybranych konstytucjach państw europejskich (w tym w Konstytucji RP z 2 kwietnia 1997 r.)</w:t>
      </w:r>
    </w:p>
    <w:p w:rsidR="00F75870" w:rsidRDefault="00F75870" w:rsidP="004830A5">
      <w:pPr>
        <w:pStyle w:val="ListParagraph"/>
        <w:numPr>
          <w:ilvl w:val="0"/>
          <w:numId w:val="6"/>
        </w:numPr>
        <w:spacing w:after="0" w:line="360" w:lineRule="auto"/>
        <w:ind w:left="357" w:hanging="357"/>
        <w:jc w:val="both"/>
        <w:rPr>
          <w:rFonts w:ascii="Times New Roman" w:hAnsi="Times New Roman"/>
          <w:sz w:val="24"/>
          <w:szCs w:val="24"/>
        </w:rPr>
      </w:pPr>
      <w:r>
        <w:rPr>
          <w:rFonts w:ascii="Times New Roman" w:hAnsi="Times New Roman"/>
          <w:sz w:val="24"/>
          <w:szCs w:val="24"/>
        </w:rPr>
        <w:t>Unormowania dotyczące stosunków państwo-kościół w Czechosłowacji (1945-1993) oraz w Republice Czeskiej</w:t>
      </w:r>
    </w:p>
    <w:p w:rsidR="00F75870" w:rsidRDefault="00F75870" w:rsidP="004830A5">
      <w:pPr>
        <w:pStyle w:val="ListParagraph"/>
        <w:numPr>
          <w:ilvl w:val="0"/>
          <w:numId w:val="6"/>
        </w:numPr>
        <w:spacing w:after="0" w:line="360" w:lineRule="auto"/>
        <w:ind w:left="357" w:hanging="357"/>
        <w:jc w:val="both"/>
        <w:rPr>
          <w:rFonts w:ascii="Times New Roman" w:hAnsi="Times New Roman"/>
          <w:sz w:val="24"/>
          <w:szCs w:val="24"/>
        </w:rPr>
      </w:pPr>
      <w:r>
        <w:rPr>
          <w:rFonts w:ascii="Times New Roman" w:hAnsi="Times New Roman"/>
          <w:sz w:val="24"/>
          <w:szCs w:val="24"/>
        </w:rPr>
        <w:t>Współczesne kierunki polityczne w Wielkiej Brytanii, Republice Czeskiej, Danii i Szwecji</w:t>
      </w:r>
    </w:p>
    <w:p w:rsidR="00F75870" w:rsidRDefault="00F75870" w:rsidP="004830A5">
      <w:pPr>
        <w:spacing w:after="0" w:line="360" w:lineRule="auto"/>
        <w:jc w:val="both"/>
        <w:rPr>
          <w:rFonts w:ascii="Times New Roman" w:hAnsi="Times New Roman"/>
          <w:sz w:val="24"/>
          <w:szCs w:val="24"/>
        </w:rPr>
      </w:pPr>
    </w:p>
    <w:p w:rsidR="00F75870" w:rsidRDefault="00F75870" w:rsidP="00EE1915">
      <w:pPr>
        <w:spacing w:line="360" w:lineRule="auto"/>
        <w:jc w:val="center"/>
        <w:rPr>
          <w:rFonts w:ascii="Times New Roman" w:hAnsi="Times New Roman"/>
          <w:b/>
          <w:sz w:val="24"/>
          <w:szCs w:val="24"/>
        </w:rPr>
      </w:pPr>
      <w:r>
        <w:rPr>
          <w:rFonts w:ascii="Times New Roman" w:hAnsi="Times New Roman"/>
          <w:b/>
          <w:sz w:val="24"/>
          <w:szCs w:val="24"/>
        </w:rPr>
        <w:t>Krótki opis dorobku w obszarze wiedzy odpowiadającym obszarowi kształcenia …</w:t>
      </w:r>
    </w:p>
    <w:p w:rsidR="00F75870" w:rsidRPr="004830A5" w:rsidRDefault="00F75870" w:rsidP="00494BAA">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Dr hab. Paweł A. Leszczyński posiada dorobek m.in. w odniesieniu do konstytucyjnych regulacji naczelnych zasad ustrojowych Rzeczypospolitej, jak również charakterystyki wybranych źródeł prawa w ujęciu historycznym i teraźniejszym, także w aspekcie prawnoporównawczym. W jego piśmiennictwie naukowym obecne są także zagadnienia związane ze sferą ochrony praw oraz wolności człowieka i obywatela, ze szczególnym akcentem na kwestię ochrony wolności sumienia i wyznania, a także wspólnotowego wymiaru wolności religijnej, nie tylko na gruncie prawa polskiego. Dorobek ów obejmuje także kwestię historycznych podstaw funkcjonowania administracji rządowej na szczeblu centralnym państwa, które wziąwszy pod uwagę podobieństwo pewnych rozwiązań przyjętych w Konstytucji Marcowej z 1921 r. do obowiązujących regulacji konstytucyjnych w czasach współczesnych, ukazują elementy ciągłości przyjętych rozwiązań ustrojowych RP, w powiązaniu z polskim konstytucjonalizmem XX wieku. Pozwala to na ukazanie studentom obecności w naszym prawie konstytucyjnym zarówno </w:t>
      </w:r>
      <w:bookmarkStart w:id="0" w:name="_GoBack"/>
      <w:bookmarkEnd w:id="0"/>
      <w:r>
        <w:rPr>
          <w:rFonts w:ascii="Times New Roman" w:hAnsi="Times New Roman"/>
          <w:sz w:val="24"/>
          <w:szCs w:val="24"/>
        </w:rPr>
        <w:t xml:space="preserve">motywów rodzimej tradycji prawnej oraz inspiracji rozwiązaniami innych państw.  </w:t>
      </w:r>
    </w:p>
    <w:p w:rsidR="00F75870" w:rsidRPr="008A417B" w:rsidRDefault="00F75870" w:rsidP="008A417B">
      <w:pPr>
        <w:spacing w:line="360" w:lineRule="auto"/>
        <w:jc w:val="both"/>
        <w:rPr>
          <w:rFonts w:ascii="Times New Roman" w:hAnsi="Times New Roman"/>
          <w:sz w:val="24"/>
          <w:szCs w:val="24"/>
        </w:rPr>
      </w:pPr>
      <w:r>
        <w:rPr>
          <w:rFonts w:ascii="Times New Roman" w:hAnsi="Times New Roman"/>
          <w:sz w:val="24"/>
          <w:szCs w:val="24"/>
        </w:rPr>
        <w:t xml:space="preserve">   </w:t>
      </w:r>
    </w:p>
    <w:sectPr w:rsidR="00F75870" w:rsidRPr="008A417B" w:rsidSect="002A0E2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70" w:rsidRDefault="00F75870" w:rsidP="001C2AF9">
      <w:pPr>
        <w:spacing w:after="0" w:line="240" w:lineRule="auto"/>
      </w:pPr>
      <w:r>
        <w:separator/>
      </w:r>
    </w:p>
  </w:endnote>
  <w:endnote w:type="continuationSeparator" w:id="0">
    <w:p w:rsidR="00F75870" w:rsidRDefault="00F75870" w:rsidP="001C2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70" w:rsidRDefault="00F75870">
    <w:pPr>
      <w:pStyle w:val="Footer"/>
      <w:jc w:val="center"/>
    </w:pPr>
    <w:fldSimple w:instr="PAGE   \* MERGEFORMAT">
      <w:r>
        <w:rPr>
          <w:noProof/>
        </w:rPr>
        <w:t>1</w:t>
      </w:r>
    </w:fldSimple>
  </w:p>
  <w:p w:rsidR="00F75870" w:rsidRDefault="00F75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70" w:rsidRDefault="00F75870" w:rsidP="001C2AF9">
      <w:pPr>
        <w:spacing w:after="0" w:line="240" w:lineRule="auto"/>
      </w:pPr>
      <w:r>
        <w:separator/>
      </w:r>
    </w:p>
  </w:footnote>
  <w:footnote w:type="continuationSeparator" w:id="0">
    <w:p w:rsidR="00F75870" w:rsidRDefault="00F75870" w:rsidP="001C2AF9">
      <w:pPr>
        <w:spacing w:after="0" w:line="240" w:lineRule="auto"/>
      </w:pPr>
      <w:r>
        <w:continuationSeparator/>
      </w:r>
    </w:p>
  </w:footnote>
  <w:footnote w:id="1">
    <w:p w:rsidR="00F75870" w:rsidRDefault="00F75870" w:rsidP="00D92EA5">
      <w:pPr>
        <w:pStyle w:val="FootnoteText"/>
        <w:jc w:val="both"/>
      </w:pPr>
      <w:r w:rsidRPr="00D92EA5">
        <w:rPr>
          <w:rStyle w:val="FootnoteReference"/>
          <w:rFonts w:ascii="Times New Roman" w:hAnsi="Times New Roman"/>
        </w:rPr>
        <w:t>*</w:t>
      </w:r>
      <w:r>
        <w:rPr>
          <w:rFonts w:ascii="Times New Roman" w:hAnsi="Times New Roman"/>
        </w:rPr>
        <w:t>- zbieżność nazwisk nie związana z pokrewieństwem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64D1"/>
    <w:multiLevelType w:val="hybridMultilevel"/>
    <w:tmpl w:val="B50039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3CF2D54"/>
    <w:multiLevelType w:val="hybridMultilevel"/>
    <w:tmpl w:val="4D46CFE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32E53ED0"/>
    <w:multiLevelType w:val="hybridMultilevel"/>
    <w:tmpl w:val="C6C64EE2"/>
    <w:lvl w:ilvl="0" w:tplc="C4322440">
      <w:start w:val="1"/>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A14472F"/>
    <w:multiLevelType w:val="hybridMultilevel"/>
    <w:tmpl w:val="25E05A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5B6B622A"/>
    <w:multiLevelType w:val="hybridMultilevel"/>
    <w:tmpl w:val="081C8D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74801AE3"/>
    <w:multiLevelType w:val="hybridMultilevel"/>
    <w:tmpl w:val="6978B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65C6"/>
    <w:rsid w:val="00072E22"/>
    <w:rsid w:val="001C2AF9"/>
    <w:rsid w:val="002739B3"/>
    <w:rsid w:val="002A0E2A"/>
    <w:rsid w:val="003D5E25"/>
    <w:rsid w:val="004830A5"/>
    <w:rsid w:val="00494BAA"/>
    <w:rsid w:val="004F4E97"/>
    <w:rsid w:val="005637CD"/>
    <w:rsid w:val="0057297F"/>
    <w:rsid w:val="006204AA"/>
    <w:rsid w:val="006708BC"/>
    <w:rsid w:val="00687A9F"/>
    <w:rsid w:val="007857FC"/>
    <w:rsid w:val="008A417B"/>
    <w:rsid w:val="009165C6"/>
    <w:rsid w:val="009E1580"/>
    <w:rsid w:val="00B20F35"/>
    <w:rsid w:val="00BE0126"/>
    <w:rsid w:val="00CC0677"/>
    <w:rsid w:val="00CD3E71"/>
    <w:rsid w:val="00D92EA5"/>
    <w:rsid w:val="00DC60C8"/>
    <w:rsid w:val="00E869D5"/>
    <w:rsid w:val="00EE1915"/>
    <w:rsid w:val="00F01F9E"/>
    <w:rsid w:val="00F7587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1580"/>
    <w:pPr>
      <w:ind w:left="720"/>
      <w:contextualSpacing/>
    </w:pPr>
  </w:style>
  <w:style w:type="paragraph" w:styleId="Header">
    <w:name w:val="header"/>
    <w:basedOn w:val="Normal"/>
    <w:link w:val="HeaderChar"/>
    <w:uiPriority w:val="99"/>
    <w:rsid w:val="001C2AF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C2AF9"/>
    <w:rPr>
      <w:rFonts w:cs="Times New Roman"/>
    </w:rPr>
  </w:style>
  <w:style w:type="paragraph" w:styleId="Footer">
    <w:name w:val="footer"/>
    <w:basedOn w:val="Normal"/>
    <w:link w:val="FooterChar"/>
    <w:uiPriority w:val="99"/>
    <w:rsid w:val="001C2AF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C2AF9"/>
    <w:rPr>
      <w:rFonts w:cs="Times New Roman"/>
    </w:rPr>
  </w:style>
  <w:style w:type="paragraph" w:styleId="FootnoteText">
    <w:name w:val="footnote text"/>
    <w:basedOn w:val="Normal"/>
    <w:link w:val="FootnoteTextChar"/>
    <w:uiPriority w:val="99"/>
    <w:semiHidden/>
    <w:rsid w:val="00D92EA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92EA5"/>
    <w:rPr>
      <w:rFonts w:cs="Times New Roman"/>
      <w:sz w:val="20"/>
      <w:szCs w:val="20"/>
    </w:rPr>
  </w:style>
  <w:style w:type="character" w:styleId="FootnoteReference">
    <w:name w:val="footnote reference"/>
    <w:basedOn w:val="DefaultParagraphFont"/>
    <w:uiPriority w:val="99"/>
    <w:semiHidden/>
    <w:rsid w:val="00D92EA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1510</Words>
  <Characters>9063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Wykłady i konferencje</dc:title>
  <dc:subject/>
  <dc:creator>halina</dc:creator>
  <cp:keywords/>
  <dc:description/>
  <cp:lastModifiedBy>SEKRET-IA-2</cp:lastModifiedBy>
  <cp:revision>2</cp:revision>
  <dcterms:created xsi:type="dcterms:W3CDTF">2016-02-18T08:57:00Z</dcterms:created>
  <dcterms:modified xsi:type="dcterms:W3CDTF">2016-02-18T08:57:00Z</dcterms:modified>
</cp:coreProperties>
</file>