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76F7" w:rsidRPr="00925B65" w:rsidRDefault="009D76F7" w:rsidP="00925B65">
      <w:pPr>
        <w:pStyle w:val="Subtitle"/>
        <w:rPr>
          <w:rFonts w:ascii="Times New Roman" w:hAnsi="Times New Roman"/>
          <w:b/>
          <w:i w:val="0"/>
          <w:color w:val="auto"/>
        </w:rPr>
      </w:pPr>
      <w:r w:rsidRPr="00925B65">
        <w:rPr>
          <w:rFonts w:ascii="Times New Roman" w:hAnsi="Times New Roman"/>
          <w:b/>
          <w:i w:val="0"/>
          <w:color w:val="auto"/>
        </w:rPr>
        <w:t xml:space="preserve">Sprawozdanie z międzynarodowej konferencji naukowej „Ukraińska Dekada 2004-2014: nadzieje, zwroty, podsumowania” </w:t>
      </w:r>
      <w:r>
        <w:rPr>
          <w:rFonts w:ascii="Times New Roman" w:hAnsi="Times New Roman"/>
          <w:b/>
          <w:i w:val="0"/>
          <w:color w:val="auto"/>
        </w:rPr>
        <w:t xml:space="preserve">Poznań – Biblioteka Raczyńskich </w:t>
      </w:r>
      <w:r w:rsidRPr="00925B65">
        <w:rPr>
          <w:rFonts w:ascii="Times New Roman" w:hAnsi="Times New Roman"/>
          <w:b/>
          <w:i w:val="0"/>
          <w:color w:val="auto"/>
        </w:rPr>
        <w:t>15 - 16 V 2014 r.</w:t>
      </w:r>
    </w:p>
    <w:p w:rsidR="009D76F7" w:rsidRPr="00925B65" w:rsidRDefault="009D76F7" w:rsidP="00925B65">
      <w:pPr>
        <w:spacing w:after="0" w:line="360" w:lineRule="auto"/>
        <w:rPr>
          <w:rFonts w:ascii="Times New Roman" w:hAnsi="Times New Roman"/>
          <w:b/>
          <w:sz w:val="24"/>
          <w:szCs w:val="24"/>
        </w:rPr>
      </w:pPr>
    </w:p>
    <w:p w:rsidR="009D76F7" w:rsidRDefault="009D76F7" w:rsidP="00925B65">
      <w:pPr>
        <w:spacing w:after="0" w:line="360" w:lineRule="auto"/>
        <w:ind w:firstLine="709"/>
        <w:jc w:val="both"/>
        <w:rPr>
          <w:rFonts w:ascii="Times New Roman" w:hAnsi="Times New Roman"/>
          <w:sz w:val="24"/>
          <w:szCs w:val="24"/>
        </w:rPr>
      </w:pPr>
      <w:r>
        <w:rPr>
          <w:rFonts w:ascii="Times New Roman" w:hAnsi="Times New Roman"/>
          <w:sz w:val="24"/>
          <w:szCs w:val="24"/>
        </w:rPr>
        <w:t>Konferencja była zorganizowana przez Instytut Wschodni Uniwersytetu im. Adama Mickiewicza, Stowarzyszenie Społeczno-Kulturalne Polska-Ukraina w Poznaniu, Wielkopolskie Stowarzyszenie „Vostok” oraz portal EastWest, pod patronatem dwumiesięcznika „Nowa Europa Wschodnia”. Konferencja stanowiła pierwszy punkt poznańskiego festiwalu „Ukraińska Wiosna”, a odbywała się w pięknych podwojach Biblioteki Raczyńskich.</w:t>
      </w:r>
    </w:p>
    <w:p w:rsidR="009D76F7" w:rsidRDefault="009D76F7" w:rsidP="00265871">
      <w:pPr>
        <w:spacing w:after="0" w:line="360" w:lineRule="auto"/>
        <w:ind w:firstLine="709"/>
        <w:jc w:val="both"/>
        <w:rPr>
          <w:rFonts w:ascii="Times New Roman" w:hAnsi="Times New Roman"/>
          <w:sz w:val="24"/>
          <w:szCs w:val="24"/>
        </w:rPr>
      </w:pPr>
      <w:r>
        <w:rPr>
          <w:rFonts w:ascii="Times New Roman" w:hAnsi="Times New Roman"/>
          <w:sz w:val="24"/>
          <w:szCs w:val="24"/>
        </w:rPr>
        <w:t xml:space="preserve">Pierwszy referat wygłosił – prof. dr hab. Marek Figura (Instytut Wschodni – IW – UAM) a tytuł brzmiał </w:t>
      </w:r>
      <w:r>
        <w:rPr>
          <w:rFonts w:ascii="Times New Roman" w:hAnsi="Times New Roman"/>
          <w:i/>
          <w:sz w:val="24"/>
          <w:szCs w:val="24"/>
        </w:rPr>
        <w:t>„Od kryzysu do kryzysu. Wewnętrzna sytuacja na Ukrainie 2004-2014”</w:t>
      </w:r>
      <w:r>
        <w:rPr>
          <w:rFonts w:ascii="Times New Roman" w:hAnsi="Times New Roman"/>
          <w:sz w:val="24"/>
          <w:szCs w:val="24"/>
        </w:rPr>
        <w:t>. Stwierdził, iż „Ukraina jaką znaliśmy do tej pory, kończy się”, obszernie odnosząc się do nadziei i rozczarowań Pomarańczowej Rewolucji. Postawił pytanie, czy po przygotowywanych teraz wyborach prezydenckich uda się Ukrainie odejść od obecnej „demokracji oligarchicznej”. Zarysował też wysokie prawdopodobieństwo ponownego konfliktu o resorty prezydenckie (obrony narodowej, spraw zagranicznych, spraw wewnętrznych), skoro w lutym br. powrócono do redakcji konstytucji w brzmieniu nadanym nowelą z 8 grudnia 2004 r.</w:t>
      </w:r>
    </w:p>
    <w:p w:rsidR="009D76F7" w:rsidRDefault="009D76F7" w:rsidP="00265871">
      <w:pPr>
        <w:spacing w:after="0" w:line="360" w:lineRule="auto"/>
        <w:ind w:firstLine="709"/>
        <w:jc w:val="both"/>
        <w:rPr>
          <w:rFonts w:ascii="Times New Roman" w:hAnsi="Times New Roman"/>
          <w:sz w:val="24"/>
          <w:szCs w:val="24"/>
        </w:rPr>
      </w:pPr>
      <w:r>
        <w:rPr>
          <w:rFonts w:ascii="Times New Roman" w:hAnsi="Times New Roman"/>
          <w:sz w:val="24"/>
          <w:szCs w:val="24"/>
        </w:rPr>
        <w:t xml:space="preserve">Pani dr Liana Hurska-Kowalczyk z Uniwersytetu Szczecińskiego w referacie </w:t>
      </w:r>
      <w:r>
        <w:rPr>
          <w:rFonts w:ascii="Times New Roman" w:hAnsi="Times New Roman"/>
          <w:i/>
          <w:sz w:val="24"/>
          <w:szCs w:val="24"/>
        </w:rPr>
        <w:t>„Rola opozycji parlamentarnej w „rewolucji godności” – Euromajdanie (2013-2014)”</w:t>
      </w:r>
      <w:r>
        <w:rPr>
          <w:rFonts w:ascii="Times New Roman" w:hAnsi="Times New Roman"/>
          <w:sz w:val="24"/>
          <w:szCs w:val="24"/>
        </w:rPr>
        <w:t xml:space="preserve"> wskazała na powstanie sieciowego społeczeństwa obywatelskiego żywotnie zainteresowanego kontrolą organów władzy. Euromajdan był inicjatywą niepartyjną, nie związaną z ówczesną opozycją parlamentarną, która podejmowała próby jego upartyjnienia. Opozycja ta stanowiła swoisty bufor między władzą a Majdanem, który nie miał zaufania do polityków. Opozycja ponadto miała problem ze zrozumieniem pełnoprawności i podmiotowości ukraińskiego społeczeństwa obywatelskiego.</w:t>
      </w:r>
    </w:p>
    <w:p w:rsidR="009D76F7" w:rsidRDefault="009D76F7" w:rsidP="00265871">
      <w:pPr>
        <w:spacing w:after="0" w:line="360" w:lineRule="auto"/>
        <w:ind w:firstLine="709"/>
        <w:jc w:val="both"/>
        <w:rPr>
          <w:rFonts w:ascii="Times New Roman" w:hAnsi="Times New Roman"/>
          <w:sz w:val="24"/>
          <w:szCs w:val="24"/>
        </w:rPr>
      </w:pPr>
      <w:r>
        <w:rPr>
          <w:rFonts w:ascii="Times New Roman" w:hAnsi="Times New Roman"/>
          <w:sz w:val="24"/>
          <w:szCs w:val="24"/>
        </w:rPr>
        <w:t xml:space="preserve">Kolejna referentka – dr Magdalena Lachowicz (IW UAM) wygłosiła referat zatytułowanym </w:t>
      </w:r>
      <w:r>
        <w:rPr>
          <w:rFonts w:ascii="Times New Roman" w:hAnsi="Times New Roman"/>
          <w:i/>
          <w:sz w:val="24"/>
          <w:szCs w:val="24"/>
        </w:rPr>
        <w:t>„Euromajdan w publicznym dyskursie – „potoczny” obraz polityki i karnawał rewolucyjny (Euro)majdanu we Lwowie”</w:t>
      </w:r>
      <w:r>
        <w:rPr>
          <w:rFonts w:ascii="Times New Roman" w:hAnsi="Times New Roman"/>
          <w:sz w:val="24"/>
          <w:szCs w:val="24"/>
        </w:rPr>
        <w:t>. Omawiając specyfikę lwowskiego Majdanu wskazała, że wpływ na jego dynamikę miało pobicie studentów na kijowskim Majdanie w nocy z 30 listopada na 1 grudnia 2013 r. Wskazała przykładowe formy lwowskiego Euromajdanu w postaci organizacji m.in. Uniwersytetu Ulicznego, tudzież Pikniku Europejskiego.</w:t>
      </w:r>
    </w:p>
    <w:p w:rsidR="009D76F7" w:rsidRDefault="009D76F7" w:rsidP="00265871">
      <w:pPr>
        <w:spacing w:after="0" w:line="360" w:lineRule="auto"/>
        <w:ind w:firstLine="709"/>
        <w:jc w:val="both"/>
        <w:rPr>
          <w:rFonts w:ascii="Times New Roman" w:hAnsi="Times New Roman"/>
          <w:sz w:val="24"/>
          <w:szCs w:val="24"/>
        </w:rPr>
      </w:pPr>
      <w:r>
        <w:rPr>
          <w:rFonts w:ascii="Times New Roman" w:hAnsi="Times New Roman"/>
          <w:sz w:val="24"/>
          <w:szCs w:val="24"/>
        </w:rPr>
        <w:t xml:space="preserve">Mgr Viktor Mozgin (Akademia lgnatianum, Kraków) w referacie </w:t>
      </w:r>
      <w:r>
        <w:rPr>
          <w:rFonts w:ascii="Times New Roman" w:hAnsi="Times New Roman"/>
          <w:i/>
          <w:sz w:val="24"/>
          <w:szCs w:val="24"/>
        </w:rPr>
        <w:t>„Siła protestu – struktura organizacyjna Euromajdanu”</w:t>
      </w:r>
      <w:r>
        <w:rPr>
          <w:rFonts w:ascii="Times New Roman" w:hAnsi="Times New Roman"/>
          <w:sz w:val="24"/>
          <w:szCs w:val="24"/>
        </w:rPr>
        <w:t xml:space="preserve"> stwierdził, iż przy wszystkich różnicach między Ukraińcami ze Wschodu i Zachodu, wspólnymi postaciami są Taras Szewczenko oraz Bohdan Chmielnicki. Wskazał, iż nie było jednego lidera Majdanu 2013/2014, a z pewnością można stwierdzić, iż był nim naród ukraiński. Była to organizacja sieciowa, w ramach której np. Samoobrona Majdanu odwoływała się do kozackiego okresu historii Ukrainy. Był tam też np. Automajdan, czy też liderzy Podatkowego Majdanu z 2010 r.</w:t>
      </w:r>
    </w:p>
    <w:p w:rsidR="009D76F7" w:rsidRDefault="009D76F7" w:rsidP="00265871">
      <w:pPr>
        <w:spacing w:after="0" w:line="360" w:lineRule="auto"/>
        <w:ind w:firstLine="709"/>
        <w:jc w:val="both"/>
        <w:rPr>
          <w:rFonts w:ascii="Times New Roman" w:hAnsi="Times New Roman"/>
          <w:sz w:val="24"/>
          <w:szCs w:val="24"/>
        </w:rPr>
      </w:pPr>
      <w:r>
        <w:rPr>
          <w:rFonts w:ascii="Times New Roman" w:hAnsi="Times New Roman"/>
          <w:sz w:val="24"/>
          <w:szCs w:val="24"/>
        </w:rPr>
        <w:t xml:space="preserve">Mgr Khrystyna Gerasymiv (Uniwersytet Marii Curie-Skłodowskiej w Lublinie) wygłosiła referat zatytułowany </w:t>
      </w:r>
      <w:r>
        <w:rPr>
          <w:rFonts w:ascii="Times New Roman" w:hAnsi="Times New Roman"/>
          <w:i/>
          <w:sz w:val="24"/>
          <w:szCs w:val="24"/>
        </w:rPr>
        <w:t>„Dziesięć lat i cała epoka. Obraz kijowskich Majdanów (2004, 2013-2014) w czasopiśmiennictwie w Polsce”</w:t>
      </w:r>
      <w:r>
        <w:rPr>
          <w:rFonts w:ascii="Times New Roman" w:hAnsi="Times New Roman"/>
          <w:sz w:val="24"/>
          <w:szCs w:val="24"/>
        </w:rPr>
        <w:t>. Pojęcie „Majdan” stanowi metaforę walki o demokratyczne wartości. Genezy Pomarańczowego Majdanu można doszukiwać się w akcji „Ukraina bez Kuczmy” w 2001 r. Skonstatowała fakt symboliczności daty 21 listopada w najnowszej historii Ukrainy; wszak 21 listopada 2004 r. rozpoczęła się na dobre Pomarańczowa Rewolucja, a 9 lat później – Rewolucja Godności, Euromajdan 2013/2014.</w:t>
      </w:r>
    </w:p>
    <w:p w:rsidR="009D76F7" w:rsidRDefault="009D76F7" w:rsidP="00265871">
      <w:pPr>
        <w:spacing w:after="0" w:line="360" w:lineRule="auto"/>
        <w:ind w:firstLine="709"/>
        <w:jc w:val="both"/>
        <w:rPr>
          <w:rFonts w:ascii="Times New Roman" w:hAnsi="Times New Roman"/>
          <w:sz w:val="24"/>
          <w:szCs w:val="24"/>
        </w:rPr>
      </w:pPr>
      <w:r>
        <w:rPr>
          <w:rFonts w:ascii="Times New Roman" w:hAnsi="Times New Roman"/>
          <w:sz w:val="24"/>
          <w:szCs w:val="24"/>
        </w:rPr>
        <w:t xml:space="preserve">W trakcie konferencji zebrani otrzymali informację o ukazaniu się na rynku wydawniczym niezwykle aktualnej książki dr Marty Studennej-Skrukwy pt. </w:t>
      </w:r>
      <w:r>
        <w:rPr>
          <w:rFonts w:ascii="Times New Roman" w:hAnsi="Times New Roman"/>
          <w:i/>
          <w:sz w:val="24"/>
          <w:szCs w:val="24"/>
        </w:rPr>
        <w:t>„Ukraiński Donbas. Oblicza tożsamości regionalnej”</w:t>
      </w:r>
      <w:r>
        <w:rPr>
          <w:rFonts w:ascii="Times New Roman" w:hAnsi="Times New Roman"/>
          <w:sz w:val="24"/>
          <w:szCs w:val="24"/>
        </w:rPr>
        <w:t>, Wyd. Nauka i Innowacje, Poznań 2014.</w:t>
      </w:r>
    </w:p>
    <w:p w:rsidR="009D76F7" w:rsidRDefault="009D76F7" w:rsidP="00265871">
      <w:pPr>
        <w:spacing w:after="0" w:line="360" w:lineRule="auto"/>
        <w:ind w:firstLine="709"/>
        <w:jc w:val="both"/>
        <w:rPr>
          <w:rFonts w:ascii="Times New Roman" w:hAnsi="Times New Roman"/>
          <w:sz w:val="24"/>
          <w:szCs w:val="24"/>
        </w:rPr>
      </w:pPr>
      <w:r>
        <w:rPr>
          <w:rFonts w:ascii="Times New Roman" w:hAnsi="Times New Roman"/>
          <w:sz w:val="24"/>
          <w:szCs w:val="24"/>
        </w:rPr>
        <w:t xml:space="preserve">Prof. dr hab. Wadym Zadunajski (Katolicki Uniwersytet we Lwowie) w referacie </w:t>
      </w:r>
      <w:r>
        <w:rPr>
          <w:rFonts w:ascii="Times New Roman" w:hAnsi="Times New Roman"/>
          <w:i/>
          <w:sz w:val="24"/>
          <w:szCs w:val="24"/>
        </w:rPr>
        <w:t>„Czynnik kozacki i zmiany rewolucyjne na Ukrainie (koniec 2013 – początek 2014)”</w:t>
      </w:r>
      <w:r>
        <w:rPr>
          <w:rFonts w:ascii="Times New Roman" w:hAnsi="Times New Roman"/>
          <w:sz w:val="24"/>
          <w:szCs w:val="24"/>
        </w:rPr>
        <w:t xml:space="preserve"> wyraził pogląd, iż Majdan nie może być utożsamiany w prawdziwą Siczą Kozacką, bo tamta była też konkretnie zorientowana na bycie forpocztą chrześcijaństwa przeciwko Turkom. Jakkolwiek czynnikiem łączącym z historią jest obrona wolności osobistej. Mit kozacki jest żywy, a niedawno ukonstytuowało się Towarzystwo Kozaków Majdanu.</w:t>
      </w:r>
    </w:p>
    <w:p w:rsidR="009D76F7" w:rsidRDefault="009D76F7" w:rsidP="00265871">
      <w:pPr>
        <w:spacing w:after="0" w:line="360" w:lineRule="auto"/>
        <w:ind w:firstLine="709"/>
        <w:jc w:val="both"/>
        <w:rPr>
          <w:rFonts w:ascii="Times New Roman" w:hAnsi="Times New Roman"/>
          <w:sz w:val="24"/>
          <w:szCs w:val="24"/>
        </w:rPr>
      </w:pPr>
      <w:r>
        <w:rPr>
          <w:rFonts w:ascii="Times New Roman" w:hAnsi="Times New Roman"/>
          <w:sz w:val="24"/>
          <w:szCs w:val="24"/>
        </w:rPr>
        <w:t xml:space="preserve">Dr Magdalena Nowak (Uniwersytet Gdański) wygłosiła referat pt. </w:t>
      </w:r>
      <w:r>
        <w:rPr>
          <w:rFonts w:ascii="Times New Roman" w:hAnsi="Times New Roman"/>
          <w:i/>
          <w:sz w:val="24"/>
          <w:szCs w:val="24"/>
        </w:rPr>
        <w:t>„Metropolita Andrzej Szeptycki o miejscu Ukrainy w przestrzeni kultury europejskiej”</w:t>
      </w:r>
      <w:r>
        <w:rPr>
          <w:rFonts w:ascii="Times New Roman" w:hAnsi="Times New Roman"/>
          <w:sz w:val="24"/>
          <w:szCs w:val="24"/>
        </w:rPr>
        <w:t>. Wspomniała m.in. że Metropolita widział również w Kościele Grekokatolickim wyraziciela ukraińskich interesów naukowych. Postrzegał „moskalofilstwo” i słowianofilstwo za „głęboką ranę”. Podkreślał, że w częstokroć antagonistycznej relacji Rosji z Europą, Ukraina powinna być tym państwem, które będzie podejmowało trud jej łagodzenia.</w:t>
      </w:r>
    </w:p>
    <w:p w:rsidR="009D76F7" w:rsidRDefault="009D76F7" w:rsidP="00265871">
      <w:pPr>
        <w:spacing w:after="0" w:line="360" w:lineRule="auto"/>
        <w:ind w:firstLine="709"/>
        <w:jc w:val="both"/>
        <w:rPr>
          <w:rFonts w:ascii="Times New Roman" w:hAnsi="Times New Roman"/>
          <w:sz w:val="24"/>
          <w:szCs w:val="24"/>
        </w:rPr>
      </w:pPr>
      <w:r>
        <w:rPr>
          <w:rFonts w:ascii="Times New Roman" w:hAnsi="Times New Roman"/>
          <w:sz w:val="24"/>
          <w:szCs w:val="24"/>
        </w:rPr>
        <w:t xml:space="preserve">Dr Katarzyna Jędraszczyk (Instytut Kultury Europejskiej UAM) w referacie </w:t>
      </w:r>
      <w:r>
        <w:rPr>
          <w:rFonts w:ascii="Times New Roman" w:hAnsi="Times New Roman"/>
          <w:i/>
          <w:sz w:val="24"/>
          <w:szCs w:val="24"/>
        </w:rPr>
        <w:t>„,&lt;Wojna pomników, a konflikt pamięci na Ukrainie (2004-2014)”</w:t>
      </w:r>
      <w:r>
        <w:rPr>
          <w:rFonts w:ascii="Times New Roman" w:hAnsi="Times New Roman"/>
          <w:sz w:val="24"/>
          <w:szCs w:val="24"/>
        </w:rPr>
        <w:t xml:space="preserve"> wyszła od wskazania konfliktogennego gruntu (na tle m.in. religijnym i narodowościowym), będącego podstawową przyczyną braku stworzenia ogólnoukraińskiej  narracji historycznej. Wyróżniła cztery modele pamięci Ukrainy: 1) postradziecki 2) narodowy 3) tatarski 4) prorosyjski (carski). Rola pomników związana jest z polityką pamięci, a ta jest obiektem polityzacji. Wskazała na próby „deradianizacji” realizowanej przez prezydenta Wiktora Juszczenkę i w tym kontekście rolę jego dekretu nr 432/2009, tworzącego podstawę do usuwania pomników tych, którzy ponosili odpowiedzialność za represjonowanie Ukraińców np. w okresie Hołodomoru. Omówiła kwestię stosunku państwa ukraińskiego do zagadnienia upamiętnienia Holokaustu. Przytoczyła inicjatywy współczesnych komunistów dotyczące „upamiętnienia” Stalina (jak w Zaporożu 5 maja 2010 r.), który to pomnik został później wysadzony w powietrze ale w listopadzie 2011 r. ponownie odbudowany. Omówiła nadto konflikty wokół pomników Lenina i Bandery, w tym kwestię „Leninopadu” w trakcie Euromajdanu.</w:t>
      </w:r>
    </w:p>
    <w:p w:rsidR="009D76F7" w:rsidRDefault="009D76F7" w:rsidP="00265871">
      <w:pPr>
        <w:spacing w:after="0" w:line="360" w:lineRule="auto"/>
        <w:ind w:firstLine="709"/>
        <w:jc w:val="both"/>
        <w:rPr>
          <w:rFonts w:ascii="Times New Roman" w:hAnsi="Times New Roman"/>
          <w:sz w:val="24"/>
          <w:szCs w:val="24"/>
        </w:rPr>
      </w:pPr>
      <w:r>
        <w:rPr>
          <w:rFonts w:ascii="Times New Roman" w:hAnsi="Times New Roman"/>
          <w:sz w:val="24"/>
          <w:szCs w:val="24"/>
        </w:rPr>
        <w:t xml:space="preserve">Mgr Marek Wojnar (Uniwersytet Jagielloński) przedstawił referat </w:t>
      </w:r>
      <w:r>
        <w:rPr>
          <w:rFonts w:ascii="Times New Roman" w:hAnsi="Times New Roman"/>
          <w:i/>
          <w:sz w:val="24"/>
          <w:szCs w:val="24"/>
        </w:rPr>
        <w:t>„Antypolonizm w ideologii i działalności WO „Swoboda”. Problem realny czy medialny?”</w:t>
      </w:r>
      <w:r>
        <w:rPr>
          <w:rFonts w:ascii="Times New Roman" w:hAnsi="Times New Roman"/>
          <w:sz w:val="24"/>
          <w:szCs w:val="24"/>
        </w:rPr>
        <w:t>. Stwierdził, że ukraiński nacjonalizm jest czynnikiem destrukcyjnym dla europejskich aspiracji tego państwa, wykorzystywanym przez Rosję w jej aktualnej propagandzie. Referat przypomniał negatywną rolę lidera „Swobody” Ołeha Tiahnyboka m.in. dla polsko-ukraińskiego dialogu i procesów pojednania, gdy próbował on na forum Rady Najwyższej „odkręcać” 22 czerwca 2005 r. sprawę otwartego już parę dni wcześniej z udziałem prezydentów obu państw Cmentarza Orląt Lwowskich.</w:t>
      </w:r>
    </w:p>
    <w:p w:rsidR="009D76F7" w:rsidRDefault="009D76F7" w:rsidP="00265871">
      <w:pPr>
        <w:spacing w:after="0" w:line="360" w:lineRule="auto"/>
        <w:ind w:firstLine="709"/>
        <w:jc w:val="both"/>
        <w:rPr>
          <w:rFonts w:ascii="Times New Roman" w:hAnsi="Times New Roman"/>
          <w:sz w:val="24"/>
          <w:szCs w:val="24"/>
        </w:rPr>
      </w:pPr>
      <w:r>
        <w:rPr>
          <w:rFonts w:ascii="Times New Roman" w:hAnsi="Times New Roman"/>
          <w:sz w:val="24"/>
          <w:szCs w:val="24"/>
        </w:rPr>
        <w:t>Na koniec pierwszego dnia poznańskiej konferencji dyskutowano o kondycji ukraińskiej kultury w czasach kryzysu.</w:t>
      </w:r>
    </w:p>
    <w:p w:rsidR="009D76F7" w:rsidRDefault="009D76F7" w:rsidP="00265871">
      <w:pPr>
        <w:spacing w:after="0" w:line="360" w:lineRule="auto"/>
        <w:ind w:firstLine="709"/>
        <w:jc w:val="both"/>
        <w:rPr>
          <w:rFonts w:ascii="Times New Roman" w:hAnsi="Times New Roman"/>
          <w:sz w:val="24"/>
          <w:szCs w:val="24"/>
        </w:rPr>
      </w:pPr>
      <w:r>
        <w:rPr>
          <w:rFonts w:ascii="Times New Roman" w:hAnsi="Times New Roman"/>
          <w:sz w:val="24"/>
          <w:szCs w:val="24"/>
        </w:rPr>
        <w:t>Pierwszy referat w drugim dniu obrad – 16 maja 2014 r. wygłosił piszący te słowa. Tytuł wystąpienia brzmiał „Ewolucja ukraińskiego prawa wyborczego do Rady Najwyższej w latach 2002-2012”.</w:t>
      </w:r>
    </w:p>
    <w:p w:rsidR="009D76F7" w:rsidRDefault="009D76F7" w:rsidP="00943FB5">
      <w:pPr>
        <w:spacing w:after="0" w:line="360" w:lineRule="auto"/>
        <w:ind w:firstLine="709"/>
        <w:jc w:val="both"/>
        <w:rPr>
          <w:rFonts w:ascii="Times New Roman" w:hAnsi="Times New Roman"/>
          <w:sz w:val="24"/>
          <w:szCs w:val="24"/>
        </w:rPr>
      </w:pPr>
      <w:r>
        <w:rPr>
          <w:rFonts w:ascii="Times New Roman" w:hAnsi="Times New Roman"/>
          <w:sz w:val="24"/>
          <w:szCs w:val="24"/>
        </w:rPr>
        <w:t xml:space="preserve">Z kolei dr Natalia Cwicinskaja (IW UAM) w wystąpieniu zatytułowanym </w:t>
      </w:r>
      <w:r>
        <w:rPr>
          <w:rFonts w:ascii="Times New Roman" w:hAnsi="Times New Roman"/>
          <w:i/>
          <w:sz w:val="24"/>
          <w:szCs w:val="24"/>
        </w:rPr>
        <w:t>„Sytuacja Krymu w świetle prawa międzynarodowego”</w:t>
      </w:r>
      <w:r>
        <w:rPr>
          <w:rFonts w:ascii="Times New Roman" w:hAnsi="Times New Roman"/>
          <w:sz w:val="24"/>
          <w:szCs w:val="24"/>
        </w:rPr>
        <w:t xml:space="preserve">, przedstawiła zebranym obszerną analizę obecnej sytuacji Krymu pod kątem norm prawa międzynarodowego publicznego, w tym o charakterze </w:t>
      </w:r>
      <w:r>
        <w:rPr>
          <w:rFonts w:ascii="Times New Roman" w:hAnsi="Times New Roman"/>
          <w:i/>
          <w:sz w:val="24"/>
          <w:szCs w:val="24"/>
        </w:rPr>
        <w:t>ius cogens</w:t>
      </w:r>
      <w:r>
        <w:rPr>
          <w:rFonts w:ascii="Times New Roman" w:hAnsi="Times New Roman"/>
          <w:sz w:val="24"/>
          <w:szCs w:val="24"/>
        </w:rPr>
        <w:t>. Przytoczyła m.in. orzeczenie kanadyjskiego Sądu Najwyższego z 1998 r. w sprawie ewentualnej secesji prowincji Québec, a także opinię doradczą Międzynarodowego Trybunału Sprawidliwości w Hadze w sprawie proklamowanej w lutym 2008 r. niepodległości Kosowa, ogłoszoną w 2010 r. Na jej treść powoływali się prorosyjscy krymscy separatyści usiłujący legitymizować „referendum” w sprawie secesji półwyspu i przystąpienia wraz z Sewastopolem do Federacji Rosyjskiej. Referentka przedstawiła wiele aspektów sytuacji normatywnej na Krymie po jego zaanektowaniu przez Rosję, która jawi się jako „vacuum” prawne, m.in. w kontekście spraw podatkowych, ważności orzeczeń sądowych, tudzież perspektyw międzynarodowej współpracy półwyspu w sprawach kryminalnych oraz naruszenia zakazu retroaktywnego działania prawa w wybranych obszarach.</w:t>
      </w:r>
    </w:p>
    <w:p w:rsidR="009D76F7" w:rsidRDefault="009D76F7" w:rsidP="00943FB5">
      <w:pPr>
        <w:spacing w:after="0" w:line="360" w:lineRule="auto"/>
        <w:ind w:firstLine="709"/>
        <w:jc w:val="both"/>
        <w:rPr>
          <w:rFonts w:ascii="Times New Roman" w:hAnsi="Times New Roman"/>
          <w:sz w:val="24"/>
          <w:szCs w:val="24"/>
        </w:rPr>
      </w:pPr>
      <w:r>
        <w:rPr>
          <w:rFonts w:ascii="Times New Roman" w:hAnsi="Times New Roman"/>
          <w:sz w:val="24"/>
          <w:szCs w:val="24"/>
        </w:rPr>
        <w:t xml:space="preserve">Mgr Oleksandra Matushenko (UMCS w Lublinie) w referacie pt. </w:t>
      </w:r>
      <w:r>
        <w:rPr>
          <w:rFonts w:ascii="Times New Roman" w:hAnsi="Times New Roman"/>
          <w:i/>
          <w:sz w:val="24"/>
          <w:szCs w:val="24"/>
        </w:rPr>
        <w:t>„Elity polityczne na Ukrainie w latach 2004-2014: demokracja oligarchiczna”</w:t>
      </w:r>
      <w:r>
        <w:rPr>
          <w:rFonts w:ascii="Times New Roman" w:hAnsi="Times New Roman"/>
          <w:sz w:val="24"/>
          <w:szCs w:val="24"/>
        </w:rPr>
        <w:t xml:space="preserve"> obszernie scharakteryzowała genezę tamtejszego systemu oligarchicznego i jego aktualne tendencje rozwojowe. Decyzje polityczne w takim systemie zapadają w kuluarach, pozaparlamentarnie, jakkolwiek wśród oligarchów ostatnimi czasy dostrzegalna jest swoista tęsknota za czytelnymi, trwałymi regułami gry.</w:t>
      </w:r>
    </w:p>
    <w:p w:rsidR="009D76F7" w:rsidRDefault="009D76F7" w:rsidP="00943FB5">
      <w:pPr>
        <w:spacing w:after="0" w:line="360" w:lineRule="auto"/>
        <w:ind w:firstLine="709"/>
        <w:jc w:val="both"/>
        <w:rPr>
          <w:rFonts w:ascii="Times New Roman" w:hAnsi="Times New Roman"/>
          <w:sz w:val="24"/>
          <w:szCs w:val="24"/>
        </w:rPr>
      </w:pPr>
      <w:r>
        <w:rPr>
          <w:rFonts w:ascii="Times New Roman" w:hAnsi="Times New Roman"/>
          <w:sz w:val="24"/>
          <w:szCs w:val="24"/>
        </w:rPr>
        <w:t xml:space="preserve">Dr Marcin Orzechowski (Uniwersytet Szczeciński) wygłosił referat pt. </w:t>
      </w:r>
      <w:r>
        <w:rPr>
          <w:rFonts w:ascii="Times New Roman" w:hAnsi="Times New Roman"/>
          <w:i/>
          <w:sz w:val="24"/>
          <w:szCs w:val="24"/>
        </w:rPr>
        <w:t>„Stosunki Federacji Rosyjskiej i Ukrainy: od realistycznego pragmatyzmu do neoimperialnego ekspansjonizmu”</w:t>
      </w:r>
      <w:r>
        <w:rPr>
          <w:rFonts w:ascii="Times New Roman" w:hAnsi="Times New Roman"/>
          <w:sz w:val="24"/>
          <w:szCs w:val="24"/>
        </w:rPr>
        <w:t xml:space="preserve">. Omówił m.in. koncepcje polityki zagranicznej FR w okresach prezydentur Borysa Jelcyna i Władimira Putina, ukazując znamienną i brzemienną w skutki – chciałoby się dodać w tym miejscu – ewolucję tychże koncepcji zawartą w tytule wystąpienia. Mówca przytoczył opinię jednego z doradców do spraw polityki zagranicznej B. Jelcyna – Andrannika Migraniana, wyrażonej w jego artykule na łamach gazety („Niezawisimaja Gazieta”) w styczniu 1994 r. o tym, iż Ukraina to </w:t>
      </w:r>
      <w:r>
        <w:rPr>
          <w:rFonts w:ascii="Times New Roman" w:hAnsi="Times New Roman"/>
          <w:i/>
          <w:sz w:val="24"/>
          <w:szCs w:val="24"/>
        </w:rPr>
        <w:t>„luźna, sztuczna formacja etnopolityczna”</w:t>
      </w:r>
      <w:r>
        <w:rPr>
          <w:rFonts w:ascii="Times New Roman" w:hAnsi="Times New Roman"/>
          <w:sz w:val="24"/>
          <w:szCs w:val="24"/>
        </w:rPr>
        <w:t xml:space="preserve">, co ukazuje element </w:t>
      </w:r>
      <w:r>
        <w:rPr>
          <w:rFonts w:ascii="Times New Roman" w:hAnsi="Times New Roman"/>
          <w:i/>
          <w:sz w:val="24"/>
          <w:szCs w:val="24"/>
        </w:rPr>
        <w:t>constans</w:t>
      </w:r>
      <w:r>
        <w:rPr>
          <w:rFonts w:ascii="Times New Roman" w:hAnsi="Times New Roman"/>
          <w:sz w:val="24"/>
          <w:szCs w:val="24"/>
        </w:rPr>
        <w:t xml:space="preserve"> w percepcji Ukrainy wśród elit kremlowskich, także przed objęciem władzy przez Putina.</w:t>
      </w:r>
    </w:p>
    <w:p w:rsidR="009D76F7" w:rsidRDefault="009D76F7" w:rsidP="00943FB5">
      <w:pPr>
        <w:spacing w:after="0" w:line="360" w:lineRule="auto"/>
        <w:ind w:firstLine="709"/>
        <w:jc w:val="both"/>
        <w:rPr>
          <w:rFonts w:ascii="Times New Roman" w:hAnsi="Times New Roman"/>
          <w:sz w:val="24"/>
          <w:szCs w:val="24"/>
        </w:rPr>
      </w:pPr>
      <w:r>
        <w:rPr>
          <w:rFonts w:ascii="Times New Roman" w:hAnsi="Times New Roman"/>
          <w:sz w:val="24"/>
          <w:szCs w:val="24"/>
        </w:rPr>
        <w:t xml:space="preserve">Dr Krzysztof Fedorowicz (IW UAM) w wystąpieniu zatytułowanym </w:t>
      </w:r>
      <w:r>
        <w:rPr>
          <w:rFonts w:ascii="Times New Roman" w:hAnsi="Times New Roman"/>
          <w:i/>
          <w:sz w:val="24"/>
          <w:szCs w:val="24"/>
        </w:rPr>
        <w:t>„Ukraina w rosyjskich planach integracyjnych obszaru poradzieckiego”</w:t>
      </w:r>
      <w:r>
        <w:rPr>
          <w:rFonts w:ascii="Times New Roman" w:hAnsi="Times New Roman"/>
          <w:sz w:val="24"/>
          <w:szCs w:val="24"/>
        </w:rPr>
        <w:t>, wskazał na wieloetapowość rosyjskiego projektu integracyjnego i przytoczył postanowienia najnowszej koncepcji polityki zagranicznej FR z 2013 r., w której mowa jest o budowie wpływów Rosji na obszarze postradzieckim ze szczególnym uwzględnieniem właśnie Ukrainy. Dlaczego jest ona tak ważna dla mającej powstać w dniu 1 stycznia 2015 r. Euroazjatyckiej Unii Gospodarczej? Gdyż bez niej ów projekt reintegracyjny się nie powiedzie, a Putin wobec niespełnionych miraży odbudowy pozycji Rosji na tym obszarze, będzie miał problemy z utrzymaniem władzy.</w:t>
      </w:r>
    </w:p>
    <w:p w:rsidR="009D76F7" w:rsidRDefault="009D76F7" w:rsidP="00943FB5">
      <w:pPr>
        <w:spacing w:after="0" w:line="360" w:lineRule="auto"/>
        <w:ind w:firstLine="709"/>
        <w:jc w:val="both"/>
        <w:rPr>
          <w:rFonts w:ascii="Times New Roman" w:hAnsi="Times New Roman"/>
          <w:sz w:val="24"/>
          <w:szCs w:val="24"/>
        </w:rPr>
      </w:pPr>
      <w:r>
        <w:rPr>
          <w:rFonts w:ascii="Times New Roman" w:hAnsi="Times New Roman"/>
          <w:sz w:val="24"/>
          <w:szCs w:val="24"/>
        </w:rPr>
        <w:t xml:space="preserve">Mgr Mateusz Chudziak (IW UAM) przedstawił referat pt. </w:t>
      </w:r>
      <w:r>
        <w:rPr>
          <w:rFonts w:ascii="Times New Roman" w:hAnsi="Times New Roman"/>
          <w:i/>
          <w:sz w:val="24"/>
          <w:szCs w:val="24"/>
        </w:rPr>
        <w:t>„Kryzys ukraiński-perspektywa turecka”</w:t>
      </w:r>
      <w:r>
        <w:rPr>
          <w:rFonts w:ascii="Times New Roman" w:hAnsi="Times New Roman"/>
          <w:sz w:val="24"/>
          <w:szCs w:val="24"/>
        </w:rPr>
        <w:t>. Ukazał istotną rolę basenu Morza Czarnego w aktualnej „neoosmańskiej” polityce zagranicznej Turcji, która była inicjatorką Czarnomorskiej Organizacji Współpracy Gospodarczej. Przedstawił potencjał tureckiej diaspory Tatarów Krymskich, z których wywodził się m.in. jeden z premierów – Adnan Menderes. Wskazał na opinię lidera Tatarów Krymskich Mustafy Dżemilewa wyrażającego niezadowolenie z powodu bierności Ankary wobec zajęcia Krymu przez Rosję. Turcja jest przez to państwo otoczona nie tylko od południa (rosyjska baza w syryjskim Tartusie) ale dodatkowo wzmocniona została jej obecność na północy – poprzez aneksję Krymu.</w:t>
      </w:r>
    </w:p>
    <w:p w:rsidR="009D76F7" w:rsidRDefault="009D76F7" w:rsidP="00943FB5">
      <w:pPr>
        <w:spacing w:after="0" w:line="360" w:lineRule="auto"/>
        <w:ind w:firstLine="709"/>
        <w:jc w:val="both"/>
        <w:rPr>
          <w:rFonts w:ascii="Times New Roman" w:hAnsi="Times New Roman"/>
          <w:sz w:val="24"/>
          <w:szCs w:val="24"/>
        </w:rPr>
      </w:pPr>
      <w:r>
        <w:rPr>
          <w:rFonts w:ascii="Times New Roman" w:hAnsi="Times New Roman"/>
          <w:sz w:val="24"/>
          <w:szCs w:val="24"/>
        </w:rPr>
        <w:t xml:space="preserve">W dyskusji na temat aktualnej sytuacji na Krymie zabrał głos dr hab. Paweł A. Leszczyński. Podkreślił, że istnieje konieczność uregulowania „problemu krymskiego” w sensie prawnym na dwóch płaszczyznach: cywilno-prawnej i prawnomiędzynarodowej. Ukraina i jej obywatele (w tym Tatarzy Krymscy) mają prawo zaskarżenia Rosji do Europejskiego Trybunału Praw Człowieka w Strasbourgu w kontekście złamania przez nią wiążących ją standardów Europejskiej Konwencji o Ochronie Praw Człowieka i Podstawowych Wolności m.in. w zakresie ochrony własności – w tym w odniesieniu do procedur wywłaszczeniowych. Zawłaszczenie przez Rosję własności Ukrainy w odniesieniu do m.in. jednostek wojskowych, jej okrętów wojskowych, czy infrastruktury przesyłowej surowców, wymaga wypłaty odszkodowania przez właściwe organy władzy FR. Za przykład stronie ukraińskiej mogą służyć skargi Greków Cypryjskich przeciwko Turcji, która dokonując inwazji na Cypr w lipcu 1974 r. doprowadziła m.in. do zaboru mienia cypryjskich Greków z północnej – okupowanej przez nią części wyspy, zmuszając ich do opuszczenia swoich miejsc zamieszkania. Na uwagę zasługuje też wyrok Trybunału w Strasbourgu z maja br., w którym nakazał on wypłatę powodom – Grekom Cypryjskim, zadośćuczynienia za cierpienia i krzywdy związane z okupowaniem przez Turcję północnej części Cypru – w wysokości 90 mln </w:t>
      </w:r>
      <w:r w:rsidRPr="007801F7">
        <w:rPr>
          <w:rFonts w:ascii="Times New Roman" w:hAnsi="Times New Roman"/>
          <w:sz w:val="24"/>
          <w:szCs w:val="24"/>
        </w:rPr>
        <w:fldChar w:fldCharType="begin"/>
      </w:r>
      <w:r w:rsidRPr="007801F7">
        <w:rPr>
          <w:rFonts w:ascii="Times New Roman" w:hAnsi="Times New Roman"/>
          <w:sz w:val="24"/>
          <w:szCs w:val="24"/>
        </w:rPr>
        <w:instrText xml:space="preserve"> QUOTE </w:instrText>
      </w:r>
      <w:r w:rsidRPr="007801F7">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pt;height:12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40&quot;/&gt;&lt;w:doNotEmbedSystemFonts/&gt;&lt;w:defaultTabStop w:val=&quot;708&quot;/&gt;&lt;w:hyphenationZone w:val=&quot;425&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15653&quot;/&gt;&lt;wsp:rsid wsp:val=&quot;0006073E&quot;/&gt;&lt;wsp:rsid wsp:val=&quot;00091DFC&quot;/&gt;&lt;wsp:rsid wsp:val=&quot;000B51AE&quot;/&gt;&lt;wsp:rsid wsp:val=&quot;001D169F&quot;/&gt;&lt;wsp:rsid wsp:val=&quot;001D338A&quot;/&gt;&lt;wsp:rsid wsp:val=&quot;001E2BFE&quot;/&gt;&lt;wsp:rsid wsp:val=&quot;00210E55&quot;/&gt;&lt;wsp:rsid wsp:val=&quot;00233F68&quot;/&gt;&lt;wsp:rsid wsp:val=&quot;002474E7&quot;/&gt;&lt;wsp:rsid wsp:val=&quot;00265871&quot;/&gt;&lt;wsp:rsid wsp:val=&quot;00336FFB&quot;/&gt;&lt;wsp:rsid wsp:val=&quot;004A5750&quot;/&gt;&lt;wsp:rsid wsp:val=&quot;00547418&quot;/&gt;&lt;wsp:rsid wsp:val=&quot;00564AE9&quot;/&gt;&lt;wsp:rsid wsp:val=&quot;007E0EF2&quot;/&gt;&lt;wsp:rsid wsp:val=&quot;00807FE1&quot;/&gt;&lt;wsp:rsid wsp:val=&quot;00877F56&quot;/&gt;&lt;wsp:rsid wsp:val=&quot;00925B65&quot;/&gt;&lt;wsp:rsid wsp:val=&quot;00943FB5&quot;/&gt;&lt;wsp:rsid wsp:val=&quot;00993F0F&quot;/&gt;&lt;wsp:rsid wsp:val=&quot;009C05C0&quot;/&gt;&lt;wsp:rsid wsp:val=&quot;009C7136&quot;/&gt;&lt;wsp:rsid wsp:val=&quot;00A241E3&quot;/&gt;&lt;wsp:rsid wsp:val=&quot;00AB1358&quot;/&gt;&lt;wsp:rsid wsp:val=&quot;00AC47EB&quot;/&gt;&lt;wsp:rsid wsp:val=&quot;00B50491&quot;/&gt;&lt;wsp:rsid wsp:val=&quot;00B76A1F&quot;/&gt;&lt;wsp:rsid wsp:val=&quot;00BC08E1&quot;/&gt;&lt;wsp:rsid wsp:val=&quot;00C15653&quot;/&gt;&lt;wsp:rsid wsp:val=&quot;00D55D16&quot;/&gt;&lt;wsp:rsid wsp:val=&quot;00D61853&quot;/&gt;&lt;wsp:rsid wsp:val=&quot;00E13323&quot;/&gt;&lt;wsp:rsid wsp:val=&quot;00E77035&quot;/&gt;&lt;wsp:rsid wsp:val=&quot;00ED2708&quot;/&gt;&lt;wsp:rsid wsp:val=&quot;00F567EB&quot;/&gt;&lt;wsp:rsid wsp:val=&quot;00FE0491&quot;/&gt;&lt;/wsp:rsids&gt;&lt;/w:docPr&gt;&lt;w:body&gt;&lt;w:p wsp:rsidR=&quot;00000000&quot; wsp:rsidRDefault=&quot;00233F68&quot;&gt;&lt;m:oMathPara&gt;&lt;m:oMath&gt;&lt;m:r&gt;&lt;w:rPr&gt;&lt;w:rFonts w:ascii=&quot;Cambria Math&quot; w:h-ansi=&quot;Cambria Math&quot;/&gt;&lt;wx:font wx:val=&quot;Cambria Math&quot;/&gt;&lt;w:i/&gt;&lt;w:sz w:val=&quot;24&quot;/&gt;&lt;w:sz-cs w:val=&quot;24&quot;/&gt;&lt;/w:rPr&gt;&lt;m:t&gt;â‚¬&lt;/m:t&gt;&lt;/m:r&gt;&lt;/m:oMath&gt;&lt;/m:oMathPara&gt;&lt;/w:p&gt;&lt;w:sectPr wsp:rsidR=&quot;00000000&quot;&gt;&lt;w:pgSz w:w=&quot;12240&quot; w:h=&quot;15840&quot;/&gt;&lt;w:pgMar w:top=&quot;1417&quot; w:right=&quot;1417&quot; w:bottom=&quot;1417&quot; w:left=&quot;1417&quot; w:header=&quot;708&quot; w:footer=&quot;708&quot; w:gutter=&quot;0&quot;/&gt;&lt;w:cols w:space=&quot;708&quot;/&gt;&lt;/w:sectPr&gt;&lt;/w:body&gt;&lt;/w:wordDocument&gt;">
            <v:imagedata r:id="rId6" o:title="" chromakey="white"/>
          </v:shape>
        </w:pict>
      </w:r>
      <w:r w:rsidRPr="007801F7">
        <w:rPr>
          <w:rFonts w:ascii="Times New Roman" w:hAnsi="Times New Roman"/>
          <w:sz w:val="24"/>
          <w:szCs w:val="24"/>
        </w:rPr>
        <w:instrText xml:space="preserve"> </w:instrText>
      </w:r>
      <w:r w:rsidRPr="007801F7">
        <w:rPr>
          <w:rFonts w:ascii="Times New Roman" w:hAnsi="Times New Roman"/>
          <w:sz w:val="24"/>
          <w:szCs w:val="24"/>
        </w:rPr>
        <w:fldChar w:fldCharType="separate"/>
      </w:r>
      <w:r w:rsidRPr="007801F7">
        <w:pict>
          <v:shape id="_x0000_i1026" type="#_x0000_t75" style="width:4.5pt;height:12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40&quot;/&gt;&lt;w:doNotEmbedSystemFonts/&gt;&lt;w:defaultTabStop w:val=&quot;708&quot;/&gt;&lt;w:hyphenationZone w:val=&quot;425&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15653&quot;/&gt;&lt;wsp:rsid wsp:val=&quot;0006073E&quot;/&gt;&lt;wsp:rsid wsp:val=&quot;00091DFC&quot;/&gt;&lt;wsp:rsid wsp:val=&quot;000B51AE&quot;/&gt;&lt;wsp:rsid wsp:val=&quot;001D169F&quot;/&gt;&lt;wsp:rsid wsp:val=&quot;001D338A&quot;/&gt;&lt;wsp:rsid wsp:val=&quot;001E2BFE&quot;/&gt;&lt;wsp:rsid wsp:val=&quot;00210E55&quot;/&gt;&lt;wsp:rsid wsp:val=&quot;00233F68&quot;/&gt;&lt;wsp:rsid wsp:val=&quot;002474E7&quot;/&gt;&lt;wsp:rsid wsp:val=&quot;00265871&quot;/&gt;&lt;wsp:rsid wsp:val=&quot;00336FFB&quot;/&gt;&lt;wsp:rsid wsp:val=&quot;004A5750&quot;/&gt;&lt;wsp:rsid wsp:val=&quot;00547418&quot;/&gt;&lt;wsp:rsid wsp:val=&quot;00564AE9&quot;/&gt;&lt;wsp:rsid wsp:val=&quot;007E0EF2&quot;/&gt;&lt;wsp:rsid wsp:val=&quot;00807FE1&quot;/&gt;&lt;wsp:rsid wsp:val=&quot;00877F56&quot;/&gt;&lt;wsp:rsid wsp:val=&quot;00925B65&quot;/&gt;&lt;wsp:rsid wsp:val=&quot;00943FB5&quot;/&gt;&lt;wsp:rsid wsp:val=&quot;00993F0F&quot;/&gt;&lt;wsp:rsid wsp:val=&quot;009C05C0&quot;/&gt;&lt;wsp:rsid wsp:val=&quot;009C7136&quot;/&gt;&lt;wsp:rsid wsp:val=&quot;00A241E3&quot;/&gt;&lt;wsp:rsid wsp:val=&quot;00AB1358&quot;/&gt;&lt;wsp:rsid wsp:val=&quot;00AC47EB&quot;/&gt;&lt;wsp:rsid wsp:val=&quot;00B50491&quot;/&gt;&lt;wsp:rsid wsp:val=&quot;00B76A1F&quot;/&gt;&lt;wsp:rsid wsp:val=&quot;00BC08E1&quot;/&gt;&lt;wsp:rsid wsp:val=&quot;00C15653&quot;/&gt;&lt;wsp:rsid wsp:val=&quot;00D55D16&quot;/&gt;&lt;wsp:rsid wsp:val=&quot;00D61853&quot;/&gt;&lt;wsp:rsid wsp:val=&quot;00E13323&quot;/&gt;&lt;wsp:rsid wsp:val=&quot;00E77035&quot;/&gt;&lt;wsp:rsid wsp:val=&quot;00ED2708&quot;/&gt;&lt;wsp:rsid wsp:val=&quot;00F567EB&quot;/&gt;&lt;wsp:rsid wsp:val=&quot;00FE0491&quot;/&gt;&lt;/wsp:rsids&gt;&lt;/w:docPr&gt;&lt;w:body&gt;&lt;w:p wsp:rsidR=&quot;00000000&quot; wsp:rsidRDefault=&quot;00233F68&quot;&gt;&lt;m:oMathPara&gt;&lt;m:oMath&gt;&lt;m:r&gt;&lt;w:rPr&gt;&lt;w:rFonts w:ascii=&quot;Cambria Math&quot; w:h-ansi=&quot;Cambria Math&quot;/&gt;&lt;wx:font wx:val=&quot;Cambria Math&quot;/&gt;&lt;w:i/&gt;&lt;w:sz w:val=&quot;24&quot;/&gt;&lt;w:sz-cs w:val=&quot;24&quot;/&gt;&lt;/w:rPr&gt;&lt;m:t&gt;â‚¬&lt;/m:t&gt;&lt;/m:r&gt;&lt;/m:oMath&gt;&lt;/m:oMathPara&gt;&lt;/w:p&gt;&lt;w:sectPr wsp:rsidR=&quot;00000000&quot;&gt;&lt;w:pgSz w:w=&quot;12240&quot; w:h=&quot;15840&quot;/&gt;&lt;w:pgMar w:top=&quot;1417&quot; w:right=&quot;1417&quot; w:bottom=&quot;1417&quot; w:left=&quot;1417&quot; w:header=&quot;708&quot; w:footer=&quot;708&quot; w:gutter=&quot;0&quot;/&gt;&lt;w:cols w:space=&quot;708&quot;/&gt;&lt;/w:sectPr&gt;&lt;/w:body&gt;&lt;/w:wordDocument&gt;">
            <v:imagedata r:id="rId6" o:title="" chromakey="white"/>
          </v:shape>
        </w:pict>
      </w:r>
      <w:r w:rsidRPr="007801F7">
        <w:rPr>
          <w:rFonts w:ascii="Times New Roman" w:hAnsi="Times New Roman"/>
          <w:sz w:val="24"/>
          <w:szCs w:val="24"/>
        </w:rPr>
        <w:fldChar w:fldCharType="end"/>
      </w:r>
      <w:r>
        <w:rPr>
          <w:rFonts w:ascii="Times New Roman" w:hAnsi="Times New Roman"/>
          <w:sz w:val="24"/>
          <w:szCs w:val="24"/>
        </w:rPr>
        <w:t xml:space="preserve"> łącznie. To aspekt cywilno-prawny. Z kolei aspekt prawnomiędzynarodowy wiąże się z możliwością pozwania przez Ukrainę Rosji (uznającej wszak jego obowiązkową jurysdykcję) do Międzynarodowego Trybunału Sprawiedliwości w Hadze za złamanie przez nią wszystkich fundamentalnych norm prawa międzynarodowego z Kartą Narodów Zjednoczonych na czele – w związku z aneksją Krymu. Jest ironią, że ZSRR którego Rosja jest sukcesorem, ustami Maksyma Litwinowa (ówczesnego ludowego komisarza spraw zagranicznych) na początku lat 30. XX w., domagał się sformułowania na forum Ligi Narodów definicji agresji i agresora.</w:t>
      </w:r>
    </w:p>
    <w:p w:rsidR="009D76F7" w:rsidRDefault="009D76F7" w:rsidP="00943FB5">
      <w:pPr>
        <w:spacing w:after="0" w:line="360" w:lineRule="auto"/>
        <w:ind w:firstLine="709"/>
        <w:jc w:val="both"/>
        <w:rPr>
          <w:rFonts w:ascii="Times New Roman" w:hAnsi="Times New Roman"/>
          <w:sz w:val="24"/>
          <w:szCs w:val="24"/>
        </w:rPr>
      </w:pPr>
      <w:r>
        <w:rPr>
          <w:rFonts w:ascii="Times New Roman" w:hAnsi="Times New Roman"/>
          <w:sz w:val="24"/>
          <w:szCs w:val="24"/>
        </w:rPr>
        <w:t xml:space="preserve">Prof. dr hab. Dominik Kubicki (IW UAM) w referacie </w:t>
      </w:r>
      <w:r>
        <w:rPr>
          <w:rFonts w:ascii="Times New Roman" w:hAnsi="Times New Roman"/>
          <w:i/>
          <w:sz w:val="24"/>
          <w:szCs w:val="24"/>
        </w:rPr>
        <w:t>„&lt;Rewolucja godnościowa&gt; kijowskiego „Majdanu” – jako zakwestionowanie ideowych wieszczeń współczesnych mocarstw globalnego świata”</w:t>
      </w:r>
      <w:r>
        <w:rPr>
          <w:rFonts w:ascii="Times New Roman" w:hAnsi="Times New Roman"/>
          <w:sz w:val="24"/>
          <w:szCs w:val="24"/>
        </w:rPr>
        <w:t xml:space="preserve"> wyraził m.in. przekonanie, iż przeciętnemu człowiekowi Zachodu trudno zrozumieć najwyższą ofiarę, złożoną przez młodych uczestników Euromajdanu w obronie godnego życia będącego drogą poszukiwania prawdy. </w:t>
      </w:r>
    </w:p>
    <w:p w:rsidR="009D76F7" w:rsidRDefault="009D76F7" w:rsidP="00943FB5">
      <w:pPr>
        <w:spacing w:after="0" w:line="360" w:lineRule="auto"/>
        <w:ind w:firstLine="709"/>
        <w:jc w:val="both"/>
        <w:rPr>
          <w:rFonts w:ascii="Times New Roman" w:hAnsi="Times New Roman"/>
          <w:sz w:val="24"/>
          <w:szCs w:val="24"/>
        </w:rPr>
      </w:pPr>
      <w:r>
        <w:rPr>
          <w:rFonts w:ascii="Times New Roman" w:hAnsi="Times New Roman"/>
          <w:sz w:val="24"/>
          <w:szCs w:val="24"/>
        </w:rPr>
        <w:t xml:space="preserve">Dr Mariusz Marszewski (IW UAM) wygłosił referat pt. </w:t>
      </w:r>
      <w:r>
        <w:rPr>
          <w:rFonts w:ascii="Times New Roman" w:hAnsi="Times New Roman"/>
          <w:i/>
          <w:sz w:val="24"/>
          <w:szCs w:val="24"/>
        </w:rPr>
        <w:t>„Antymajdan, tituszki, federaliści, separatyści, czy …? – tendencje odśrodkowe na Ukrainie Południowej i Wschodniej w I poł. 2014 r.”</w:t>
      </w:r>
      <w:r>
        <w:rPr>
          <w:rFonts w:ascii="Times New Roman" w:hAnsi="Times New Roman"/>
          <w:sz w:val="24"/>
          <w:szCs w:val="24"/>
        </w:rPr>
        <w:t>. Podkreślił wspólnotę wielonarodowościową obywateli Ukrainy na Majdanie, gdzie byli m.in. Żydzi i muzułmańscy Tatarzy, jakkolwiek Ormianie w większości go nie poparli (poza m.in. Arsenem Awakowem, obecnym ministrem spraw wewnętrznych). Stwierdził, iż separatyści uważają, że wojują z Zachodem. Poparła ich część klasy średniej ale też lumpenproletariat. Jako ciekawostkę podał fakt, iż Paweł Gubariew – samozwańczy gubernator Obwodu Donieckiego zajmował się do niedawna działalnością iventową wcielając się w rolę … dziadka mroza.</w:t>
      </w:r>
    </w:p>
    <w:p w:rsidR="009D76F7" w:rsidRDefault="009D76F7" w:rsidP="00943FB5">
      <w:pPr>
        <w:spacing w:after="0" w:line="360" w:lineRule="auto"/>
        <w:ind w:firstLine="709"/>
        <w:jc w:val="both"/>
        <w:rPr>
          <w:rFonts w:ascii="Times New Roman" w:hAnsi="Times New Roman"/>
          <w:sz w:val="24"/>
          <w:szCs w:val="24"/>
        </w:rPr>
      </w:pPr>
      <w:r>
        <w:rPr>
          <w:rFonts w:ascii="Times New Roman" w:hAnsi="Times New Roman"/>
          <w:sz w:val="24"/>
          <w:szCs w:val="24"/>
        </w:rPr>
        <w:t xml:space="preserve">Dr Rafał Kęsek (Katedra Ukrainoznawstwa Uniwersytetu Jagiellońskiego) wygłosił referat pt. </w:t>
      </w:r>
      <w:r>
        <w:rPr>
          <w:rFonts w:ascii="Times New Roman" w:hAnsi="Times New Roman"/>
          <w:i/>
          <w:sz w:val="24"/>
          <w:szCs w:val="24"/>
        </w:rPr>
        <w:t>„Szok bez terapii 2.0 Charakterystyka kluczowych czynników negatywnie wpływających na efektywność ukraińskiej tranzycji społeczno-politycznej i gospodarczej w XXI w.”</w:t>
      </w:r>
      <w:r>
        <w:rPr>
          <w:rFonts w:ascii="Times New Roman" w:hAnsi="Times New Roman"/>
          <w:sz w:val="24"/>
          <w:szCs w:val="24"/>
        </w:rPr>
        <w:t>. Stwierdził, że mianem „szoku bez terapii” Ukraińcy określają charakter przemian gospodarczych w swoim państwie. Wyznacznikiem siły oligarchów na Ukrainie jest skala kontroli przez nich tamtejszego PKB, która sięga podobno do 45%-46%, podczas gdy w dzisiejszej Rosji – 16%. Skala korupcji ma w takim reżimie charakter systemowy, stanowiąc powszechnie obowiązującą regułę. Mówca poruszył kwestię deregulacji, która inicjowana odgórnie napotkała na „opór materii” w postaci części tamtejszych kadr urzędniczych na szczeblu obwodów. Trudne są perspektywy rozwoju małej przedsiębiorczości, stąd w 2010 r. miał miejsce tzw. Majdan Podatkowy. W okresie rządów W. Janukowycza w ramach recentralizacji władzy zabrano władzom regionów i obwodów kompetencję do ustalania miejscowych planów zagospodarowania przestrzennego. Z kolei reforma sądownictwa z 2010 r. odniosła efekty odwrotne do zamierzonych. Nie istnieje bezpieczeństwo prawne, w sytuacji niemożności odwołania się w razie np. sporu z władzami przez osoby fizyczne i prawne do niezależnego, bezstronnego arbitra – sądu.</w:t>
      </w:r>
    </w:p>
    <w:p w:rsidR="009D76F7" w:rsidRDefault="009D76F7" w:rsidP="00943FB5">
      <w:pPr>
        <w:spacing w:after="0" w:line="360" w:lineRule="auto"/>
        <w:ind w:firstLine="709"/>
        <w:jc w:val="both"/>
        <w:rPr>
          <w:rFonts w:ascii="Times New Roman" w:hAnsi="Times New Roman"/>
          <w:sz w:val="24"/>
          <w:szCs w:val="24"/>
        </w:rPr>
      </w:pPr>
      <w:r>
        <w:rPr>
          <w:rFonts w:ascii="Times New Roman" w:hAnsi="Times New Roman"/>
          <w:sz w:val="24"/>
          <w:szCs w:val="24"/>
        </w:rPr>
        <w:t xml:space="preserve">Mgr Piotr Lechowicz (Uniwersytet Wrocławski) przedstawił referat zatytułowany </w:t>
      </w:r>
      <w:r>
        <w:rPr>
          <w:rFonts w:ascii="Times New Roman" w:hAnsi="Times New Roman"/>
          <w:i/>
          <w:sz w:val="24"/>
          <w:szCs w:val="24"/>
        </w:rPr>
        <w:t>„(R)ewolucyjny proces instytucjonalizacji systemu partyjnego Ukrainy w latach 2004-2014”</w:t>
      </w:r>
      <w:r>
        <w:rPr>
          <w:rFonts w:ascii="Times New Roman" w:hAnsi="Times New Roman"/>
          <w:sz w:val="24"/>
          <w:szCs w:val="24"/>
        </w:rPr>
        <w:t>. W punkcie startu do demokracji w niepodległej Ukrainie to nomenklatura tworzyła partie polityczne – odnotował. Zdefiniował też pojęcia „organizacja” i „instytucjonalizacja”. Stwierdził istnienie w tamtejszym systemie partii typu kartel, oddalonych od społeczeństwa, a powiązanych z aparatem państwowym. Wskazał na rolę ordynacji wyborczej dla stymulowania rozwoju systemu partyjnego.</w:t>
      </w:r>
    </w:p>
    <w:p w:rsidR="009D76F7" w:rsidRDefault="009D76F7" w:rsidP="00943FB5">
      <w:pPr>
        <w:spacing w:after="0" w:line="360" w:lineRule="auto"/>
        <w:ind w:firstLine="709"/>
        <w:jc w:val="both"/>
        <w:rPr>
          <w:rFonts w:ascii="Times New Roman" w:hAnsi="Times New Roman"/>
          <w:sz w:val="24"/>
          <w:szCs w:val="24"/>
        </w:rPr>
      </w:pPr>
      <w:r>
        <w:rPr>
          <w:rFonts w:ascii="Times New Roman" w:hAnsi="Times New Roman"/>
          <w:sz w:val="24"/>
          <w:szCs w:val="24"/>
        </w:rPr>
        <w:t>W ostatniej części owocnej i „na czasie” konferencji – Prof. dr hab. Witalij Telwak (Drohobycki Państwowy Uniwersytet Pedagogiczny im. Iwana Franko), przedstawił prezentację poświęconą Ukrainie w latach 2004-2014 w oczach nauki i mediów.</w:t>
      </w:r>
    </w:p>
    <w:p w:rsidR="009D76F7" w:rsidRDefault="009D76F7" w:rsidP="00943FB5">
      <w:pPr>
        <w:spacing w:after="0" w:line="360" w:lineRule="auto"/>
        <w:ind w:firstLine="709"/>
        <w:jc w:val="both"/>
        <w:rPr>
          <w:rFonts w:ascii="Times New Roman" w:hAnsi="Times New Roman"/>
          <w:sz w:val="24"/>
          <w:szCs w:val="24"/>
        </w:rPr>
      </w:pPr>
      <w:r>
        <w:rPr>
          <w:rFonts w:ascii="Times New Roman" w:hAnsi="Times New Roman"/>
          <w:sz w:val="24"/>
          <w:szCs w:val="24"/>
        </w:rPr>
        <w:t>Organizatorzy konferencji zapowiedzieli publikację wygłoszonych referatów.</w:t>
      </w:r>
    </w:p>
    <w:p w:rsidR="009D76F7" w:rsidRDefault="009D76F7" w:rsidP="00943FB5">
      <w:pPr>
        <w:spacing w:after="0" w:line="360" w:lineRule="auto"/>
        <w:ind w:firstLine="709"/>
        <w:jc w:val="both"/>
        <w:rPr>
          <w:rFonts w:ascii="Times New Roman" w:hAnsi="Times New Roman"/>
          <w:sz w:val="24"/>
          <w:szCs w:val="24"/>
        </w:rPr>
      </w:pPr>
    </w:p>
    <w:p w:rsidR="009D76F7" w:rsidRDefault="009D76F7" w:rsidP="00943FB5">
      <w:pPr>
        <w:spacing w:after="0" w:line="360" w:lineRule="auto"/>
        <w:ind w:firstLine="709"/>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dr hab. Paweł A. Leszczyński</w:t>
      </w:r>
    </w:p>
    <w:p w:rsidR="009D76F7" w:rsidRDefault="009D76F7" w:rsidP="00943FB5">
      <w:pPr>
        <w:spacing w:after="0" w:line="360" w:lineRule="auto"/>
        <w:ind w:firstLine="709"/>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prof. Państwowej Wyższej Szkoły Zawodowej</w:t>
      </w:r>
    </w:p>
    <w:p w:rsidR="009D76F7" w:rsidRDefault="009D76F7" w:rsidP="00943FB5">
      <w:pPr>
        <w:spacing w:after="0" w:line="360" w:lineRule="auto"/>
        <w:ind w:firstLine="709"/>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im. Jakuba z Paradyża w Gorzowie Wlkp.,</w:t>
      </w:r>
    </w:p>
    <w:p w:rsidR="009D76F7" w:rsidRDefault="009D76F7" w:rsidP="00943FB5">
      <w:pPr>
        <w:spacing w:after="0" w:line="360" w:lineRule="auto"/>
        <w:ind w:firstLine="709"/>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kierownik Katedry Problemów Bezpieczeństwa</w:t>
      </w:r>
    </w:p>
    <w:p w:rsidR="009D76F7" w:rsidRDefault="009D76F7" w:rsidP="00943FB5">
      <w:pPr>
        <w:spacing w:after="0" w:line="360" w:lineRule="auto"/>
        <w:ind w:firstLine="709"/>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Europy Północnej, Środkowej i Wschodniej</w:t>
      </w:r>
    </w:p>
    <w:p w:rsidR="009D76F7" w:rsidRDefault="009D76F7" w:rsidP="0006073E">
      <w:pPr>
        <w:spacing w:after="0" w:line="360" w:lineRule="auto"/>
        <w:ind w:left="2124"/>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na Wydziale Administracji i Bezpieczeństwa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Narodowego tej uczelni,</w:t>
      </w:r>
    </w:p>
    <w:p w:rsidR="009D76F7" w:rsidRPr="00091DFC" w:rsidRDefault="009D76F7" w:rsidP="0006073E">
      <w:pPr>
        <w:spacing w:after="0" w:line="360" w:lineRule="auto"/>
        <w:ind w:left="2124"/>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 xml:space="preserve">adres do </w:t>
      </w:r>
      <w:bookmarkStart w:id="0" w:name="_GoBack"/>
      <w:bookmarkEnd w:id="0"/>
      <w:r>
        <w:rPr>
          <w:rFonts w:ascii="Times New Roman" w:hAnsi="Times New Roman"/>
          <w:sz w:val="24"/>
          <w:szCs w:val="24"/>
        </w:rPr>
        <w:t>korespondencji: paw.lesz@wp.pl</w:t>
      </w:r>
    </w:p>
    <w:sectPr w:rsidR="009D76F7" w:rsidRPr="00091DFC" w:rsidSect="00FE0491">
      <w:foot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D76F7" w:rsidRDefault="009D76F7" w:rsidP="00925B65">
      <w:pPr>
        <w:spacing w:after="0" w:line="240" w:lineRule="auto"/>
      </w:pPr>
      <w:r>
        <w:separator/>
      </w:r>
    </w:p>
  </w:endnote>
  <w:endnote w:type="continuationSeparator" w:id="0">
    <w:p w:rsidR="009D76F7" w:rsidRDefault="009D76F7" w:rsidP="00925B6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altName w:val="Thorndale"/>
    <w:panose1 w:val="02020603050405020304"/>
    <w:charset w:val="EE"/>
    <w:family w:val="roman"/>
    <w:pitch w:val="variable"/>
    <w:sig w:usb0="E0002AFF" w:usb1="C0007841" w:usb2="00000009" w:usb3="00000000" w:csb0="000001FF" w:csb1="00000000"/>
  </w:font>
  <w:font w:name="Cambria">
    <w:altName w:val="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76F7" w:rsidRDefault="009D76F7">
    <w:pPr>
      <w:pStyle w:val="Footer"/>
      <w:jc w:val="center"/>
    </w:pPr>
    <w:fldSimple w:instr="PAGE   \* MERGEFORMAT">
      <w:r>
        <w:rPr>
          <w:noProof/>
        </w:rPr>
        <w:t>1</w:t>
      </w:r>
    </w:fldSimple>
  </w:p>
  <w:p w:rsidR="009D76F7" w:rsidRDefault="009D76F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D76F7" w:rsidRDefault="009D76F7" w:rsidP="00925B65">
      <w:pPr>
        <w:spacing w:after="0" w:line="240" w:lineRule="auto"/>
      </w:pPr>
      <w:r>
        <w:separator/>
      </w:r>
    </w:p>
  </w:footnote>
  <w:footnote w:type="continuationSeparator" w:id="0">
    <w:p w:rsidR="009D76F7" w:rsidRDefault="009D76F7" w:rsidP="00925B65">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15653"/>
    <w:rsid w:val="0006073E"/>
    <w:rsid w:val="00091DFC"/>
    <w:rsid w:val="000B51AE"/>
    <w:rsid w:val="001D169F"/>
    <w:rsid w:val="001D338A"/>
    <w:rsid w:val="001E2BFE"/>
    <w:rsid w:val="00210E55"/>
    <w:rsid w:val="002474E7"/>
    <w:rsid w:val="00265871"/>
    <w:rsid w:val="00336FFB"/>
    <w:rsid w:val="004A5750"/>
    <w:rsid w:val="00547418"/>
    <w:rsid w:val="00564AE9"/>
    <w:rsid w:val="007801F7"/>
    <w:rsid w:val="007E0EF2"/>
    <w:rsid w:val="00807FE1"/>
    <w:rsid w:val="00877F56"/>
    <w:rsid w:val="00925B65"/>
    <w:rsid w:val="00943FB5"/>
    <w:rsid w:val="00993F0F"/>
    <w:rsid w:val="009C05C0"/>
    <w:rsid w:val="009C7136"/>
    <w:rsid w:val="009D76F7"/>
    <w:rsid w:val="00A241E3"/>
    <w:rsid w:val="00AB1358"/>
    <w:rsid w:val="00AC47EB"/>
    <w:rsid w:val="00AD749C"/>
    <w:rsid w:val="00B50491"/>
    <w:rsid w:val="00B76A1F"/>
    <w:rsid w:val="00BC08E1"/>
    <w:rsid w:val="00C15653"/>
    <w:rsid w:val="00CF1668"/>
    <w:rsid w:val="00D55D16"/>
    <w:rsid w:val="00D61853"/>
    <w:rsid w:val="00E13323"/>
    <w:rsid w:val="00E77035"/>
    <w:rsid w:val="00ED2708"/>
    <w:rsid w:val="00F567EB"/>
    <w:rsid w:val="00FE0491"/>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0491"/>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25B65"/>
    <w:pPr>
      <w:tabs>
        <w:tab w:val="center" w:pos="4536"/>
        <w:tab w:val="right" w:pos="9072"/>
      </w:tabs>
      <w:spacing w:after="0" w:line="240" w:lineRule="auto"/>
    </w:pPr>
  </w:style>
  <w:style w:type="character" w:customStyle="1" w:styleId="HeaderChar">
    <w:name w:val="Header Char"/>
    <w:basedOn w:val="DefaultParagraphFont"/>
    <w:link w:val="Header"/>
    <w:uiPriority w:val="99"/>
    <w:locked/>
    <w:rsid w:val="00925B65"/>
    <w:rPr>
      <w:rFonts w:cs="Times New Roman"/>
    </w:rPr>
  </w:style>
  <w:style w:type="paragraph" w:styleId="Footer">
    <w:name w:val="footer"/>
    <w:basedOn w:val="Normal"/>
    <w:link w:val="FooterChar"/>
    <w:uiPriority w:val="99"/>
    <w:rsid w:val="00925B65"/>
    <w:pPr>
      <w:tabs>
        <w:tab w:val="center" w:pos="4536"/>
        <w:tab w:val="right" w:pos="9072"/>
      </w:tabs>
      <w:spacing w:after="0" w:line="240" w:lineRule="auto"/>
    </w:pPr>
  </w:style>
  <w:style w:type="character" w:customStyle="1" w:styleId="FooterChar">
    <w:name w:val="Footer Char"/>
    <w:basedOn w:val="DefaultParagraphFont"/>
    <w:link w:val="Footer"/>
    <w:uiPriority w:val="99"/>
    <w:locked/>
    <w:rsid w:val="00925B65"/>
    <w:rPr>
      <w:rFonts w:cs="Times New Roman"/>
    </w:rPr>
  </w:style>
  <w:style w:type="paragraph" w:styleId="Subtitle">
    <w:name w:val="Subtitle"/>
    <w:basedOn w:val="Normal"/>
    <w:next w:val="Normal"/>
    <w:link w:val="SubtitleChar"/>
    <w:uiPriority w:val="99"/>
    <w:qFormat/>
    <w:rsid w:val="00925B65"/>
    <w:pPr>
      <w:numPr>
        <w:ilvl w:val="1"/>
      </w:numPr>
    </w:pPr>
    <w:rPr>
      <w:rFonts w:ascii="Cambria" w:eastAsia="Times New Roman" w:hAnsi="Cambria"/>
      <w:i/>
      <w:iCs/>
      <w:color w:val="4F81BD"/>
      <w:spacing w:val="15"/>
      <w:sz w:val="24"/>
      <w:szCs w:val="24"/>
    </w:rPr>
  </w:style>
  <w:style w:type="character" w:customStyle="1" w:styleId="SubtitleChar">
    <w:name w:val="Subtitle Char"/>
    <w:basedOn w:val="DefaultParagraphFont"/>
    <w:link w:val="Subtitle"/>
    <w:uiPriority w:val="99"/>
    <w:locked/>
    <w:rsid w:val="00925B65"/>
    <w:rPr>
      <w:rFonts w:ascii="Cambria" w:hAnsi="Cambria" w:cs="Times New Roman"/>
      <w:i/>
      <w:iCs/>
      <w:color w:val="4F81BD"/>
      <w:spacing w:val="15"/>
      <w:sz w:val="24"/>
      <w:szCs w:val="24"/>
    </w:rPr>
  </w:style>
  <w:style w:type="character" w:styleId="PlaceholderText">
    <w:name w:val="Placeholder Text"/>
    <w:basedOn w:val="DefaultParagraphFont"/>
    <w:uiPriority w:val="99"/>
    <w:semiHidden/>
    <w:rsid w:val="00336FFB"/>
    <w:rPr>
      <w:rFonts w:cs="Times New Roman"/>
      <w:color w:val="80808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7</Pages>
  <Words>2308</Words>
  <Characters>13852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Sprawozdanie z międzynarodowej konferencji naukowej „Ukraińska Dekada 2004-2014: nadzieje, zwroty, podsumowania” Poznań – Biblioteka Raczyńskich 15 - 16 V 2014 r</dc:title>
  <dc:subject/>
  <dc:creator>halina</dc:creator>
  <cp:keywords/>
  <dc:description/>
  <cp:lastModifiedBy>SEKRET-IA-2</cp:lastModifiedBy>
  <cp:revision>2</cp:revision>
  <dcterms:created xsi:type="dcterms:W3CDTF">2016-02-18T09:06:00Z</dcterms:created>
  <dcterms:modified xsi:type="dcterms:W3CDTF">2016-02-18T09:06:00Z</dcterms:modified>
</cp:coreProperties>
</file>